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8F" w:rsidRDefault="007F7D8F" w:rsidP="007F7D8F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Техническая спецификация</w:t>
      </w:r>
    </w:p>
    <w:p w:rsidR="007F7D8F" w:rsidRDefault="007F7D8F" w:rsidP="007F7D8F">
      <w:pPr>
        <w:spacing w:after="120"/>
        <w:jc w:val="center"/>
        <w:rPr>
          <w:b/>
          <w:color w:val="000000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7F7D8F" w:rsidRPr="00DF07DE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D8F" w:rsidRPr="00C02853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Предмет закупа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D8F" w:rsidRPr="00E87E65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Обзор заработных плат по позициям Руководителей финансовых организаций (члены Правления) и по позициям Совета директоров финансовых организаций 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C02853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Сроки предоставления обзора</w:t>
            </w:r>
            <w:r w:rsidRPr="00C02853">
              <w:rPr>
                <w:rFonts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Pr="001F3260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4-6 недель с момента заключения договора</w:t>
            </w:r>
          </w:p>
          <w:p w:rsidR="007F7D8F" w:rsidRPr="001F3260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C02853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Охват компаний</w:t>
            </w:r>
            <w:r w:rsidRPr="00C02853">
              <w:rPr>
                <w:rFonts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Pr="001F3260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Не менее 7-10 компаний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C02853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Pr="001F3260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Финансовый, инвестиционный, страховой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C02853" w:rsidRDefault="007F7D8F" w:rsidP="007F7D8F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Обзор заработных плат по позициям Руководителей финансовых организаций (члены Правления)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Обзор заработных плат включает в себя информацию: </w:t>
            </w:r>
          </w:p>
          <w:p w:rsidR="007F7D8F" w:rsidRDefault="000A43CC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-должностной оклад, </w:t>
            </w:r>
          </w:p>
          <w:p w:rsidR="000A43CC" w:rsidRDefault="000A43CC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-размер премий и бонусов,</w:t>
            </w:r>
          </w:p>
          <w:p w:rsidR="000A43CC" w:rsidRDefault="000A43CC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-структура вознаграждения (постоянная и переменная часть, периодичность выплаты бонусов и премий), </w:t>
            </w:r>
          </w:p>
          <w:p w:rsidR="000A43CC" w:rsidRDefault="000A43CC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- принципы вознаграждения (</w:t>
            </w:r>
            <w:r>
              <w:rPr>
                <w:rFonts w:cs="Arial"/>
                <w:lang w:val="en-US"/>
              </w:rPr>
              <w:t>KPIs</w:t>
            </w:r>
            <w:r>
              <w:rPr>
                <w:rFonts w:cs="Arial"/>
              </w:rPr>
              <w:t xml:space="preserve">, оценка работников, % от чистой прибыли, </w:t>
            </w:r>
            <w:proofErr w:type="gramStart"/>
            <w:r>
              <w:rPr>
                <w:rFonts w:cs="Arial"/>
              </w:rPr>
              <w:t>направленный</w:t>
            </w:r>
            <w:proofErr w:type="gramEnd"/>
            <w:r>
              <w:rPr>
                <w:rFonts w:cs="Arial"/>
              </w:rPr>
              <w:t xml:space="preserve"> на премирование.)</w:t>
            </w:r>
          </w:p>
          <w:p w:rsidR="000A43CC" w:rsidRPr="000A43CC" w:rsidRDefault="000A43CC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-сравнительная характеристика структуры и принципов вознаграждения Председателя Правления и Заместителя Председателя Правления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CC" w:rsidRDefault="000A43CC" w:rsidP="000A43CC">
            <w:r>
              <w:rPr>
                <w:rFonts w:cs="Arial"/>
                <w:b/>
              </w:rPr>
              <w:t xml:space="preserve">Обзор заработных плат по позициям </w:t>
            </w:r>
          </w:p>
          <w:p w:rsidR="007F7D8F" w:rsidRPr="000A43CC" w:rsidRDefault="000A43CC" w:rsidP="000A43CC">
            <w:r>
              <w:rPr>
                <w:rFonts w:cs="Arial"/>
                <w:b/>
              </w:rPr>
              <w:t xml:space="preserve">Совета директоров финансовых организаций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CC" w:rsidRDefault="000A43CC" w:rsidP="000A43CC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Обзор заработных плат включает в себя информацию: </w:t>
            </w:r>
          </w:p>
          <w:p w:rsidR="007F7D8F" w:rsidRDefault="000A43CC" w:rsidP="007F7D8F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- наличие вознаграждения, </w:t>
            </w:r>
          </w:p>
          <w:p w:rsidR="000A43CC" w:rsidRPr="001F3260" w:rsidRDefault="000A43CC" w:rsidP="00296DBA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- принципы вознаграждения</w:t>
            </w:r>
            <w:r w:rsidR="00296DBA">
              <w:t>:</w:t>
            </w:r>
            <w:r>
              <w:rPr>
                <w:rFonts w:cs="Arial"/>
              </w:rPr>
              <w:t xml:space="preserve"> (</w:t>
            </w:r>
            <w:r>
              <w:t>постоянная часть (за членство, председательство) и переменная часть (бонусная система, бонусный пул)</w:t>
            </w:r>
            <w:r>
              <w:rPr>
                <w:rFonts w:cs="Arial"/>
              </w:rPr>
              <w:t>)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C02853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Стоимость 1 обзора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Pr="001F3260" w:rsidRDefault="007F7D8F" w:rsidP="00C86265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950 000 (девятьсот пятьдесят тысяч) тенге без учета НДС 12%</w:t>
            </w:r>
          </w:p>
        </w:tc>
      </w:tr>
      <w:tr w:rsidR="007F7D8F" w:rsidRPr="00C02853" w:rsidTr="00C8626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F" w:rsidRPr="006F6925" w:rsidRDefault="007F7D8F" w:rsidP="00C86265">
            <w:pPr>
              <w:tabs>
                <w:tab w:val="left" w:pos="42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Общая стоимость (2 обзора)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8F" w:rsidRPr="001F3260" w:rsidRDefault="00296DBA" w:rsidP="00296DBA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2 0</w:t>
            </w:r>
            <w:r w:rsidR="007F7D8F">
              <w:rPr>
                <w:rFonts w:cs="Arial"/>
              </w:rPr>
              <w:t>00 000 (</w:t>
            </w:r>
            <w:r>
              <w:rPr>
                <w:rFonts w:cs="Arial"/>
              </w:rPr>
              <w:t>два</w:t>
            </w:r>
            <w:r w:rsidR="007F7D8F">
              <w:rPr>
                <w:rFonts w:cs="Arial"/>
              </w:rPr>
              <w:t xml:space="preserve"> миллион</w:t>
            </w:r>
            <w:r>
              <w:rPr>
                <w:rFonts w:cs="Arial"/>
              </w:rPr>
              <w:t>а</w:t>
            </w:r>
            <w:r w:rsidR="007F7D8F">
              <w:rPr>
                <w:rFonts w:cs="Arial"/>
              </w:rPr>
              <w:t>) тенге без учета НДС 12%</w:t>
            </w:r>
          </w:p>
        </w:tc>
      </w:tr>
    </w:tbl>
    <w:p w:rsidR="007F7D8F" w:rsidRDefault="007F7D8F" w:rsidP="007F7D8F">
      <w:pPr>
        <w:rPr>
          <w:rFonts w:cs="Arial"/>
        </w:rPr>
      </w:pPr>
    </w:p>
    <w:p w:rsidR="005D035D" w:rsidRDefault="005D035D">
      <w:bookmarkStart w:id="0" w:name="_GoBack"/>
      <w:bookmarkEnd w:id="0"/>
    </w:p>
    <w:sectPr w:rsidR="005D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F"/>
    <w:rsid w:val="000A43CC"/>
    <w:rsid w:val="00296DBA"/>
    <w:rsid w:val="003C2B51"/>
    <w:rsid w:val="00573D56"/>
    <w:rsid w:val="005D035D"/>
    <w:rsid w:val="007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7F7D8F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F7D8F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basedOn w:val="a"/>
    <w:rsid w:val="00573D56"/>
    <w:pPr>
      <w:autoSpaceDE w:val="0"/>
      <w:autoSpaceDN w:val="0"/>
    </w:pPr>
    <w:rPr>
      <w:rFonts w:ascii="Garamond" w:eastAsiaTheme="minorHAnsi" w:hAnsi="Garamon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7F7D8F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F7D8F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basedOn w:val="a"/>
    <w:rsid w:val="00573D56"/>
    <w:pPr>
      <w:autoSpaceDE w:val="0"/>
      <w:autoSpaceDN w:val="0"/>
    </w:pPr>
    <w:rPr>
      <w:rFonts w:ascii="Garamond" w:eastAsiaTheme="minorHAnsi" w:hAnsi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3</cp:revision>
  <dcterms:created xsi:type="dcterms:W3CDTF">2016-08-22T07:40:00Z</dcterms:created>
  <dcterms:modified xsi:type="dcterms:W3CDTF">2016-08-22T08:45:00Z</dcterms:modified>
</cp:coreProperties>
</file>