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FF" w:rsidRDefault="009932FF" w:rsidP="009932FF">
      <w:pPr>
        <w:pStyle w:val="a3"/>
        <w:spacing w:after="200" w:line="276" w:lineRule="auto"/>
        <w:ind w:left="284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ТЕХНИЧЕСКАЯ СПЕЦИФИКАЦИЯ</w:t>
      </w:r>
    </w:p>
    <w:p w:rsidR="009932FF" w:rsidRDefault="009932FF" w:rsidP="009932FF">
      <w:pPr>
        <w:pStyle w:val="a3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Описание оборудования, находящееся в эксплуатации заказчика.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47"/>
        <w:gridCol w:w="5670"/>
        <w:gridCol w:w="3017"/>
      </w:tblGrid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ОБОРУДОВАНИЯ ПОДЛЕЖАЩЕГО РЕМОНТУ В СЛУЧАЕ ВЫХОДА ИЗ СТРОЯ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Организационная техника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 </w:t>
            </w:r>
            <w:r>
              <w:rPr>
                <w:sz w:val="22"/>
                <w:szCs w:val="22"/>
                <w:lang w:val="en-US"/>
              </w:rPr>
              <w:t>HP (</w:t>
            </w:r>
            <w:r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 </w:t>
            </w:r>
            <w:r>
              <w:rPr>
                <w:sz w:val="22"/>
                <w:szCs w:val="22"/>
                <w:lang w:val="en-US"/>
              </w:rPr>
              <w:t xml:space="preserve">HP </w:t>
            </w:r>
            <w:r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>HP (</w:t>
            </w:r>
            <w:r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 </w:t>
            </w:r>
            <w:r>
              <w:rPr>
                <w:sz w:val="22"/>
                <w:szCs w:val="22"/>
                <w:lang w:val="en-US"/>
              </w:rPr>
              <w:t>XEROX (</w:t>
            </w:r>
            <w:r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>XEROX</w:t>
            </w:r>
            <w:r>
              <w:rPr>
                <w:sz w:val="22"/>
                <w:szCs w:val="22"/>
              </w:rPr>
              <w:t xml:space="preserve"> (черно-белый)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 xml:space="preserve">XEROX </w:t>
            </w:r>
            <w:r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Копир </w:t>
            </w:r>
            <w:r>
              <w:rPr>
                <w:sz w:val="22"/>
                <w:szCs w:val="22"/>
                <w:lang w:val="en-US"/>
              </w:rPr>
              <w:t xml:space="preserve">XEROX </w:t>
            </w:r>
            <w:r>
              <w:rPr>
                <w:sz w:val="22"/>
                <w:szCs w:val="22"/>
              </w:rPr>
              <w:t>(черно-белый)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 </w:t>
            </w:r>
            <w:r>
              <w:rPr>
                <w:sz w:val="22"/>
                <w:szCs w:val="22"/>
                <w:lang w:val="en-US"/>
              </w:rPr>
              <w:t>LEXMARK (</w:t>
            </w:r>
            <w:r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 </w:t>
            </w:r>
            <w:r>
              <w:rPr>
                <w:sz w:val="22"/>
                <w:szCs w:val="22"/>
                <w:lang w:val="en-US"/>
              </w:rPr>
              <w:t xml:space="preserve">LEXMARK </w:t>
            </w:r>
            <w:r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 xml:space="preserve">LEXMARK </w:t>
            </w:r>
            <w:r>
              <w:rPr>
                <w:sz w:val="22"/>
                <w:szCs w:val="22"/>
              </w:rPr>
              <w:t>(черно-белый)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 xml:space="preserve">LEXMARK </w:t>
            </w:r>
            <w:r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МФУ </w:t>
            </w:r>
            <w:r>
              <w:rPr>
                <w:sz w:val="22"/>
                <w:szCs w:val="22"/>
                <w:lang w:val="en-US"/>
              </w:rPr>
              <w:t>TOSHIBA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Сканер </w:t>
            </w:r>
            <w:r>
              <w:rPr>
                <w:sz w:val="22"/>
                <w:szCs w:val="22"/>
                <w:lang w:val="en-US"/>
              </w:rPr>
              <w:t>EPSON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Сканер </w:t>
            </w:r>
            <w:r>
              <w:rPr>
                <w:sz w:val="22"/>
                <w:szCs w:val="22"/>
                <w:lang w:val="en-US"/>
              </w:rPr>
              <w:t>HP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Сканер F</w:t>
            </w:r>
            <w:r>
              <w:rPr>
                <w:sz w:val="22"/>
                <w:szCs w:val="22"/>
                <w:lang w:val="en-US"/>
              </w:rPr>
              <w:t>UJITSU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Сканер </w:t>
            </w:r>
            <w:r>
              <w:rPr>
                <w:sz w:val="22"/>
                <w:szCs w:val="22"/>
                <w:lang w:val="en-US"/>
              </w:rPr>
              <w:t>CANON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Факсимильный аппарат </w:t>
            </w:r>
            <w:r>
              <w:rPr>
                <w:sz w:val="22"/>
                <w:szCs w:val="22"/>
                <w:lang w:val="en-US"/>
              </w:rPr>
              <w:t>PANASONIC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Видеопроектор </w:t>
            </w:r>
            <w:r>
              <w:rPr>
                <w:sz w:val="22"/>
                <w:szCs w:val="22"/>
                <w:lang w:val="en-US"/>
              </w:rPr>
              <w:t>Panasonic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Видеопроектор </w:t>
            </w:r>
            <w:r>
              <w:rPr>
                <w:sz w:val="22"/>
                <w:szCs w:val="22"/>
                <w:lang w:val="en-US"/>
              </w:rPr>
              <w:t xml:space="preserve">CANON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Видеопроектор </w:t>
            </w:r>
            <w:r>
              <w:rPr>
                <w:sz w:val="22"/>
                <w:szCs w:val="22"/>
                <w:lang w:val="en-US"/>
              </w:rPr>
              <w:t>EPSON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Диктофон </w:t>
            </w:r>
            <w:r>
              <w:rPr>
                <w:sz w:val="22"/>
                <w:szCs w:val="22"/>
                <w:lang w:val="en-US"/>
              </w:rPr>
              <w:t>SONY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Компьютерная техника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  <w:lang w:val="en-US"/>
              </w:rPr>
              <w:t>HP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  <w:lang w:val="en-US"/>
              </w:rPr>
              <w:t>n\n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Мобильное</w:t>
            </w:r>
            <w:proofErr w:type="gramEnd"/>
            <w:r>
              <w:rPr>
                <w:b/>
                <w:sz w:val="22"/>
                <w:szCs w:val="22"/>
              </w:rPr>
              <w:t xml:space="preserve"> ПК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Планшет </w:t>
            </w:r>
            <w:r>
              <w:rPr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Ультрабук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iPod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TOSHIBA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SONY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HP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ASER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DELL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Сетевое оборудование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Коммутатор</w:t>
            </w:r>
            <w:r>
              <w:rPr>
                <w:sz w:val="22"/>
                <w:szCs w:val="22"/>
                <w:lang w:val="en-US"/>
              </w:rPr>
              <w:t xml:space="preserve"> D-Link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Коммутатор</w:t>
            </w:r>
            <w:r>
              <w:rPr>
                <w:sz w:val="22"/>
                <w:szCs w:val="22"/>
                <w:lang w:val="en-US"/>
              </w:rPr>
              <w:t xml:space="preserve"> Edge-core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Свитч</w:t>
            </w:r>
            <w:r>
              <w:rPr>
                <w:sz w:val="22"/>
                <w:szCs w:val="22"/>
                <w:lang w:val="en-US"/>
              </w:rPr>
              <w:t xml:space="preserve"> D-Link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Свитч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Cisko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Монитор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Монитор </w:t>
            </w:r>
            <w:r>
              <w:rPr>
                <w:sz w:val="22"/>
                <w:szCs w:val="22"/>
                <w:lang w:val="en-US"/>
              </w:rPr>
              <w:t>SAMSUNG 17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Монитор SAMSUNG</w:t>
            </w:r>
            <w:r>
              <w:rPr>
                <w:sz w:val="22"/>
                <w:szCs w:val="22"/>
                <w:lang w:val="en-US"/>
              </w:rPr>
              <w:t xml:space="preserve"> 19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Монитор SAMSUNG</w:t>
            </w:r>
            <w:r>
              <w:rPr>
                <w:sz w:val="22"/>
                <w:szCs w:val="22"/>
                <w:lang w:val="en-US"/>
              </w:rPr>
              <w:t xml:space="preserve"> 20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Монитор SAMSUNG</w:t>
            </w:r>
            <w:r>
              <w:rPr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Монитор SAMSUNG</w:t>
            </w:r>
            <w:r>
              <w:rPr>
                <w:sz w:val="22"/>
                <w:szCs w:val="22"/>
                <w:lang w:val="en-US"/>
              </w:rPr>
              <w:t xml:space="preserve"> 24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Монитор </w:t>
            </w:r>
            <w:r>
              <w:rPr>
                <w:sz w:val="22"/>
                <w:szCs w:val="22"/>
                <w:lang w:val="en-US"/>
              </w:rPr>
              <w:t>PHILIPS 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ИБП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480 Вт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560Вт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1050 Вт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2FF" w:rsidRDefault="00993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Бытовая техника</w:t>
            </w: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LED </w:t>
            </w:r>
            <w:r>
              <w:rPr>
                <w:sz w:val="22"/>
                <w:szCs w:val="22"/>
              </w:rPr>
              <w:t xml:space="preserve">телевизор </w:t>
            </w:r>
            <w:r>
              <w:rPr>
                <w:sz w:val="22"/>
                <w:szCs w:val="22"/>
                <w:lang w:val="en-US"/>
              </w:rPr>
              <w:t xml:space="preserve">SAMSUNG 42 (4 </w:t>
            </w:r>
            <w:r>
              <w:rPr>
                <w:sz w:val="22"/>
                <w:szCs w:val="22"/>
              </w:rPr>
              <w:t>серия)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  <w:tr w:rsidR="009932FF" w:rsidTr="009932FF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2FF" w:rsidRDefault="00993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LED </w:t>
            </w:r>
            <w:r>
              <w:rPr>
                <w:sz w:val="22"/>
                <w:szCs w:val="22"/>
              </w:rPr>
              <w:t xml:space="preserve">телевизор </w:t>
            </w:r>
            <w:r>
              <w:rPr>
                <w:sz w:val="22"/>
                <w:szCs w:val="22"/>
                <w:lang w:val="en-US"/>
              </w:rPr>
              <w:t>SAMSUNG</w:t>
            </w:r>
            <w:r>
              <w:rPr>
                <w:sz w:val="22"/>
                <w:szCs w:val="22"/>
              </w:rPr>
              <w:t xml:space="preserve"> 65 (6 серия)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F" w:rsidRDefault="009932FF">
            <w:pPr>
              <w:rPr>
                <w:sz w:val="22"/>
                <w:szCs w:val="22"/>
              </w:rPr>
            </w:pPr>
          </w:p>
        </w:tc>
      </w:tr>
    </w:tbl>
    <w:p w:rsidR="009932FF" w:rsidRDefault="009932FF" w:rsidP="009932F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932FF" w:rsidRDefault="009932FF" w:rsidP="009932FF">
      <w:pPr>
        <w:pStyle w:val="a3"/>
        <w:numPr>
          <w:ilvl w:val="0"/>
          <w:numId w:val="2"/>
        </w:numPr>
        <w:spacing w:after="120"/>
        <w:ind w:left="284" w:hanging="284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Требования к квалификации и ресурсам поставщика услуги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В целях обеспечения качественного и своевременного оказания услуг, потенциальный поставщик должен следующее:</w:t>
      </w:r>
    </w:p>
    <w:p w:rsidR="009932FF" w:rsidRDefault="009932FF" w:rsidP="009932F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Особое внимание акцентируется на то, что компания – претендент должен производить диагносту и ремонт </w:t>
      </w:r>
      <w:r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всей линейки оборудования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указанного в данной таблице;</w:t>
      </w:r>
    </w:p>
    <w:p w:rsidR="009932FF" w:rsidRDefault="009932FF" w:rsidP="009932FF">
      <w:pPr>
        <w:pStyle w:val="a3"/>
        <w:numPr>
          <w:ilvl w:val="0"/>
          <w:numId w:val="3"/>
        </w:numPr>
        <w:spacing w:after="120"/>
        <w:ind w:left="709" w:hanging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предоставить прайс-лист  услуг по диагностике и ремонту оборудования;</w:t>
      </w:r>
    </w:p>
    <w:p w:rsidR="009932FF" w:rsidRDefault="009932FF" w:rsidP="009932FF">
      <w:pPr>
        <w:pStyle w:val="a3"/>
        <w:numPr>
          <w:ilvl w:val="0"/>
          <w:numId w:val="3"/>
        </w:numPr>
        <w:spacing w:after="120"/>
        <w:ind w:hanging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исполнитель несет ответственность за переданное в ремонт оборудование;</w:t>
      </w:r>
    </w:p>
    <w:p w:rsidR="009932FF" w:rsidRDefault="009932FF" w:rsidP="009932F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ремонтные работы должны проводиться в течени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и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пяти рабочих дней. Если по каким-либо причинам ремонт невозможно осуществить  в течени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и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пяти рабочих дней исполнитель уведомляет заказчика любым доступным способом с объяснением причин задержки ремонта;</w:t>
      </w:r>
    </w:p>
    <w:p w:rsidR="009932FF" w:rsidRDefault="009932FF" w:rsidP="009932F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при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передачи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оборудования на диагностику с последующим ремонтом исполнитель обязан выдать заказчику соответствующий документ о передачи оборудования, а по исполнении ремонтных работ выдать документ с описанием неисправности и стоимости ремонта;</w:t>
      </w:r>
    </w:p>
    <w:p w:rsidR="009932FF" w:rsidRDefault="009932FF" w:rsidP="009932F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при ремонте оборудования использовать только новые комплектующие, а также запасные части; 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7)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8)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выполнять свои обязательства по уплате налогов и других обязательных платежей в бюджет на момент подачи заявки на участие в конкурсе и на момент заключения договора о закупках;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9)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обладать профессиональной компетенцией и опытом работы, иметь необходимые финансовые, материальные и трудовые ресурсы для исполнения обязательств в соответствии с договором;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10)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иметь собственную "горячую линию" и менеджера по работе с клиентами, закрепленного за Заказчиком;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11)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все работы должны проводиться сертифицированными специалистами, имеющими достаточный опыт и допуск к данному виду работ в области, соответствующей предмету закупки, подтвержденный наличием документов (копии дипломов, сертификатов, свидетельств);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компания – претендент должна иметь в составе документов обязательную авторизацию от производителя оборудования (копии сертификатов, подтверждающая статус партнерства), а также сертификатов по ремонту вышеперечисленного оборудования;</w:t>
      </w:r>
    </w:p>
    <w:p w:rsidR="009932FF" w:rsidRDefault="009932FF" w:rsidP="009932FF">
      <w:pPr>
        <w:spacing w:after="120"/>
        <w:ind w:left="709" w:hanging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13) 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сервисный центр компании - претендента должен </w:t>
      </w: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находится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в городе Алматы;</w:t>
      </w:r>
    </w:p>
    <w:p w:rsidR="009932FF" w:rsidRDefault="009932FF" w:rsidP="009932FF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14)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предоставлять гарантию на замененные за</w:t>
      </w:r>
      <w:r w:rsidR="0084547B">
        <w:rPr>
          <w:rFonts w:ascii="Arial" w:eastAsiaTheme="minorHAnsi" w:hAnsi="Arial" w:cs="Arial"/>
          <w:sz w:val="20"/>
          <w:szCs w:val="20"/>
          <w:lang w:eastAsia="en-US"/>
        </w:rPr>
        <w:t>пасные части не менее 6 месяцев.</w:t>
      </w:r>
      <w:bookmarkStart w:id="0" w:name="_GoBack"/>
      <w:bookmarkEnd w:id="0"/>
    </w:p>
    <w:p w:rsidR="006331D6" w:rsidRDefault="006331D6"/>
    <w:sectPr w:rsidR="0063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1E15"/>
    <w:multiLevelType w:val="hybridMultilevel"/>
    <w:tmpl w:val="7BAC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83EFC"/>
    <w:multiLevelType w:val="hybridMultilevel"/>
    <w:tmpl w:val="0124123E"/>
    <w:lvl w:ilvl="0" w:tplc="D5D840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C7601"/>
    <w:multiLevelType w:val="hybridMultilevel"/>
    <w:tmpl w:val="FD74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57"/>
    <w:rsid w:val="006331D6"/>
    <w:rsid w:val="0084547B"/>
    <w:rsid w:val="009932FF"/>
    <w:rsid w:val="00F5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2FF"/>
    <w:pPr>
      <w:ind w:left="720"/>
    </w:pPr>
  </w:style>
  <w:style w:type="table" w:customStyle="1" w:styleId="2">
    <w:name w:val="Сетка таблицы2"/>
    <w:basedOn w:val="a1"/>
    <w:uiPriority w:val="59"/>
    <w:rsid w:val="00993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2FF"/>
    <w:pPr>
      <w:ind w:left="720"/>
    </w:pPr>
  </w:style>
  <w:style w:type="table" w:customStyle="1" w:styleId="2">
    <w:name w:val="Сетка таблицы2"/>
    <w:basedOn w:val="a1"/>
    <w:uiPriority w:val="59"/>
    <w:rsid w:val="00993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2016-07-07T08:37:00Z</dcterms:created>
  <dcterms:modified xsi:type="dcterms:W3CDTF">2016-07-07T08:55:00Z</dcterms:modified>
</cp:coreProperties>
</file>