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416FE9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</w:rPr>
      </w:pPr>
      <w:bookmarkStart w:id="0" w:name="_GoBack"/>
      <w:bookmarkEnd w:id="0"/>
      <w:r w:rsidRPr="00416FE9">
        <w:rPr>
          <w:rFonts w:ascii="Times New Roman" w:eastAsia="Times New Roman" w:hAnsi="Times New Roman" w:cs="Times New Roman"/>
          <w:b/>
          <w:i w:val="0"/>
          <w:color w:val="auto"/>
        </w:rPr>
        <w:t>Протокол</w:t>
      </w:r>
      <w:r w:rsidR="00416FE9" w:rsidRPr="00416FE9">
        <w:rPr>
          <w:rFonts w:ascii="Arial" w:eastAsia="Times New Roman" w:hAnsi="Arial" w:cs="Arial"/>
          <w:b/>
          <w:i w:val="0"/>
          <w:color w:val="auto"/>
        </w:rPr>
        <w:br/>
      </w:r>
      <w:r w:rsidR="00CE6195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>допуска к</w:t>
      </w:r>
      <w:r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 участи</w:t>
      </w:r>
      <w:r w:rsidR="00CE6195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>ю</w:t>
      </w:r>
      <w:r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 в конкурсе </w:t>
      </w:r>
      <w:r w:rsidR="00FD4371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по приобретению </w:t>
      </w:r>
      <w:r w:rsidR="00860474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br/>
      </w:r>
      <w:r w:rsidR="00027D69" w:rsidRPr="00416FE9">
        <w:rPr>
          <w:rFonts w:ascii="Times New Roman" w:eastAsia="Times New Roman" w:hAnsi="Times New Roman" w:cs="Times New Roman"/>
          <w:b/>
          <w:bCs/>
          <w:i w:val="0"/>
          <w:color w:val="auto"/>
        </w:rPr>
        <w:t xml:space="preserve">комплектующих материалов для серверной техники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A460B3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но</w:t>
      </w:r>
      <w:r w:rsidR="00F86888" w:rsidRPr="00534B9C">
        <w:rPr>
          <w:rFonts w:ascii="Arial" w:hAnsi="Arial" w:cs="Arial"/>
          <w:sz w:val="20"/>
          <w:szCs w:val="20"/>
        </w:rPr>
        <w:t>ября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A460B3">
        <w:rPr>
          <w:rFonts w:ascii="Arial" w:hAnsi="Arial" w:cs="Arial"/>
          <w:sz w:val="20"/>
          <w:szCs w:val="20"/>
        </w:rPr>
        <w:t>0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Место проведения:</w:t>
      </w:r>
      <w:r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Pr="00534B9C">
        <w:rPr>
          <w:rFonts w:ascii="Arial" w:hAnsi="Arial" w:cs="Arial"/>
          <w:sz w:val="20"/>
          <w:szCs w:val="20"/>
          <w:lang w:val="en-US"/>
        </w:rPr>
        <w:t>Almaty</w:t>
      </w:r>
      <w:r w:rsidRPr="00534B9C">
        <w:rPr>
          <w:rFonts w:ascii="Arial" w:hAnsi="Arial" w:cs="Arial"/>
          <w:sz w:val="20"/>
          <w:szCs w:val="20"/>
        </w:rPr>
        <w:t xml:space="preserve"> </w:t>
      </w:r>
      <w:r w:rsidRPr="00534B9C">
        <w:rPr>
          <w:rFonts w:ascii="Arial" w:hAnsi="Arial" w:cs="Arial"/>
          <w:sz w:val="20"/>
          <w:szCs w:val="20"/>
          <w:lang w:val="en-US"/>
        </w:rPr>
        <w:t>Towers</w:t>
      </w:r>
      <w:r w:rsidRPr="00534B9C">
        <w:rPr>
          <w:rFonts w:ascii="Arial" w:hAnsi="Arial" w:cs="Arial"/>
          <w:sz w:val="20"/>
          <w:szCs w:val="20"/>
        </w:rPr>
        <w:t xml:space="preserve">", </w:t>
      </w:r>
      <w:r w:rsidRPr="00534B9C">
        <w:rPr>
          <w:rFonts w:ascii="Arial" w:hAnsi="Arial" w:cs="Arial"/>
          <w:sz w:val="20"/>
          <w:szCs w:val="20"/>
        </w:rPr>
        <w:br/>
        <w:t>8</w:t>
      </w:r>
      <w:r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F75986" w:rsidRPr="000801C2" w:rsidRDefault="00F75986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Председател</w:t>
      </w:r>
      <w:r w:rsidR="00F86888"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конкурсной комиссии:</w:t>
      </w:r>
    </w:p>
    <w:p w:rsidR="000801C2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Цалюк А</w:t>
      </w:r>
      <w:r w:rsidR="00C137B3" w:rsidRPr="000801C2">
        <w:rPr>
          <w:rFonts w:ascii="Arial" w:eastAsia="Times New Roman" w:hAnsi="Arial" w:cs="Arial"/>
          <w:sz w:val="20"/>
          <w:szCs w:val="20"/>
        </w:rPr>
        <w:t>.</w:t>
      </w:r>
      <w:r w:rsidRPr="000801C2">
        <w:rPr>
          <w:rFonts w:ascii="Arial" w:eastAsia="Times New Roman" w:hAnsi="Arial" w:cs="Arial"/>
          <w:sz w:val="20"/>
          <w:szCs w:val="20"/>
        </w:rPr>
        <w:t>Ю.</w:t>
      </w:r>
      <w:r w:rsidR="0033741E" w:rsidRPr="000801C2"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>–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заместител</w:t>
      </w:r>
      <w:r w:rsidR="00F86888">
        <w:rPr>
          <w:rFonts w:ascii="Arial" w:eastAsia="Times New Roman" w:hAnsi="Arial" w:cs="Arial"/>
          <w:sz w:val="20"/>
          <w:szCs w:val="20"/>
        </w:rPr>
        <w:t>ь</w:t>
      </w:r>
      <w:r>
        <w:rPr>
          <w:rFonts w:ascii="Arial" w:eastAsia="Times New Roman" w:hAnsi="Arial" w:cs="Arial"/>
          <w:sz w:val="20"/>
          <w:szCs w:val="20"/>
        </w:rPr>
        <w:t xml:space="preserve"> Председателя Правления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>
        <w:rPr>
          <w:rFonts w:ascii="Arial" w:eastAsia="Times New Roman" w:hAnsi="Arial" w:cs="Arial"/>
          <w:sz w:val="20"/>
          <w:szCs w:val="20"/>
        </w:rPr>
        <w:t xml:space="preserve">"Казахстанская фондовая биржа"; 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аместителя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4C54FF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F86888">
        <w:rPr>
          <w:rFonts w:ascii="Arial" w:eastAsia="Times New Roman" w:hAnsi="Arial" w:cs="Arial"/>
          <w:sz w:val="20"/>
          <w:szCs w:val="20"/>
        </w:rPr>
        <w:t>ый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директор, директор Финансово-административного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ч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лен комиссии:</w:t>
      </w:r>
    </w:p>
    <w:p w:rsidR="00F75986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Искаков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начальник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с</w:t>
      </w:r>
      <w:r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0E37FB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 xml:space="preserve"> М.Р.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 xml:space="preserve">главный </w:t>
      </w:r>
      <w:r>
        <w:rPr>
          <w:rFonts w:ascii="Arial" w:eastAsia="Times New Roman" w:hAnsi="Arial" w:cs="Arial"/>
          <w:sz w:val="20"/>
          <w:szCs w:val="20"/>
        </w:rPr>
        <w:t xml:space="preserve">юрисконсульт </w:t>
      </w:r>
      <w:r w:rsidRPr="000E37FB">
        <w:rPr>
          <w:rFonts w:ascii="Arial" w:eastAsia="Times New Roman" w:hAnsi="Arial" w:cs="Arial"/>
          <w:sz w:val="20"/>
          <w:szCs w:val="20"/>
        </w:rPr>
        <w:t xml:space="preserve">Юридического 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Pr="000801C2" w:rsidRDefault="00F86888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Конкурсная комиссия </w:t>
      </w:r>
      <w:r w:rsidR="00CE6195" w:rsidRPr="00CE6195">
        <w:rPr>
          <w:rFonts w:ascii="Arial" w:eastAsia="Times New Roman" w:hAnsi="Arial" w:cs="Arial"/>
          <w:sz w:val="20"/>
          <w:szCs w:val="20"/>
        </w:rPr>
        <w:t>рассмотрела заявки на участие в конкурсе по закупкам</w:t>
      </w:r>
      <w:r w:rsidR="00CE6195">
        <w:rPr>
          <w:rFonts w:ascii="Arial" w:eastAsia="Times New Roman" w:hAnsi="Arial" w:cs="Arial"/>
          <w:sz w:val="20"/>
          <w:szCs w:val="20"/>
        </w:rPr>
        <w:t xml:space="preserve"> </w:t>
      </w:r>
      <w:r w:rsidR="00CE6195" w:rsidRPr="00CE6195">
        <w:rPr>
          <w:rFonts w:ascii="Arial" w:eastAsia="Times New Roman" w:hAnsi="Arial" w:cs="Arial"/>
          <w:sz w:val="20"/>
          <w:szCs w:val="20"/>
        </w:rPr>
        <w:t>комплектующих материалов для серверной техники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CE6195" w:rsidRPr="004D4AFE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CE6195" w:rsidRPr="004D4AFE">
        <w:rPr>
          <w:rFonts w:ascii="Arial" w:eastAsia="Times New Roman" w:hAnsi="Arial" w:cs="Arial"/>
          <w:sz w:val="20"/>
          <w:szCs w:val="20"/>
        </w:rPr>
        <w:t xml:space="preserve">Информация о привлечении экспертов, представленных ими </w:t>
      </w:r>
      <w:r w:rsidR="00152F62" w:rsidRPr="004D4AFE">
        <w:rPr>
          <w:rFonts w:ascii="Arial" w:eastAsia="Times New Roman" w:hAnsi="Arial" w:cs="Arial"/>
          <w:sz w:val="20"/>
          <w:szCs w:val="20"/>
        </w:rPr>
        <w:t>заключений,</w:t>
      </w:r>
      <w:r w:rsidR="00CE6195" w:rsidRPr="004D4AFE">
        <w:rPr>
          <w:rFonts w:ascii="Arial" w:eastAsia="Times New Roman" w:hAnsi="Arial" w:cs="Arial"/>
          <w:sz w:val="20"/>
          <w:szCs w:val="20"/>
        </w:rPr>
        <w:t xml:space="preserve"> по соответствию технической спецификации приложенных к заявке на участие в конкурсе: </w:t>
      </w:r>
      <w:r w:rsidR="004D4AFE">
        <w:rPr>
          <w:rFonts w:ascii="Arial" w:eastAsia="Times New Roman" w:hAnsi="Arial" w:cs="Arial"/>
          <w:sz w:val="20"/>
          <w:szCs w:val="20"/>
        </w:rPr>
        <w:br/>
      </w:r>
      <w:r w:rsidR="00CE6195" w:rsidRPr="004D4AFE">
        <w:rPr>
          <w:rFonts w:ascii="Arial" w:eastAsia="Times New Roman" w:hAnsi="Arial" w:cs="Arial"/>
          <w:b/>
          <w:sz w:val="20"/>
          <w:szCs w:val="20"/>
        </w:rPr>
        <w:t>не привлекались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</w:p>
    <w:p w:rsidR="00173CCF" w:rsidRPr="00A77601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CE6195" w:rsidRPr="00602060">
        <w:rPr>
          <w:rFonts w:ascii="Arial" w:eastAsia="Times New Roman" w:hAnsi="Arial" w:cs="Arial"/>
          <w:sz w:val="20"/>
          <w:szCs w:val="20"/>
        </w:rPr>
        <w:t>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</w:t>
      </w:r>
    </w:p>
    <w:tbl>
      <w:tblPr>
        <w:tblStyle w:val="a3"/>
        <w:tblW w:w="496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7"/>
        <w:gridCol w:w="2638"/>
        <w:gridCol w:w="3251"/>
        <w:gridCol w:w="2803"/>
      </w:tblGrid>
      <w:tr w:rsidR="00EB52A2" w:rsidRPr="000801C2" w:rsidTr="000D62A8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CCF" w:rsidRPr="00534B9C" w:rsidRDefault="00173CCF" w:rsidP="00534B9C">
            <w:pPr>
              <w:pStyle w:val="a4"/>
              <w:widowControl w:val="0"/>
              <w:spacing w:before="60" w:after="60"/>
              <w:ind w:lef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</w:t>
            </w:r>
            <w:proofErr w:type="gramEnd"/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/п</w:t>
            </w:r>
          </w:p>
        </w:tc>
        <w:tc>
          <w:tcPr>
            <w:tcW w:w="1437" w:type="pct"/>
            <w:vAlign w:val="center"/>
          </w:tcPr>
          <w:p w:rsidR="00173CCF" w:rsidRPr="00534B9C" w:rsidRDefault="00173CCF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Наименование</w:t>
            </w:r>
            <w:r w:rsidR="00E11D6E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="00EB52A2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r w:rsidR="00A77601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и адрес </w:t>
            </w: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потенциального поставщика</w:t>
            </w:r>
            <w:r w:rsid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, </w:t>
            </w:r>
            <w:r w:rsidR="00955DB9" w:rsidRP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>время представления заявки на участие в конкурсе</w:t>
            </w:r>
          </w:p>
        </w:tc>
        <w:tc>
          <w:tcPr>
            <w:tcW w:w="1771" w:type="pct"/>
            <w:vAlign w:val="center"/>
          </w:tcPr>
          <w:p w:rsidR="00173CCF" w:rsidRPr="00534B9C" w:rsidRDefault="005667C6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Перечень документов, содержащихся в заявке</w:t>
            </w:r>
            <w:r w:rsidR="00173CCF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потенциального поставщика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CF" w:rsidRPr="00534B9C" w:rsidRDefault="005667C6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Информация об отсутствии документа</w:t>
            </w:r>
            <w:r w:rsid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, </w:t>
            </w:r>
            <w:r w:rsidR="00955DB9" w:rsidRPr="00955DB9">
              <w:rPr>
                <w:rFonts w:ascii="Arial Narrow" w:eastAsia="Times New Roman" w:hAnsi="Arial Narrow" w:cs="Arial"/>
                <w:b/>
                <w:sz w:val="20"/>
                <w:szCs w:val="20"/>
              </w:rPr>
              <w:t>об отзыве и изменении заявок на участие в конкурсе и другая информация</w:t>
            </w:r>
          </w:p>
        </w:tc>
      </w:tr>
      <w:tr w:rsidR="00EB52A2" w:rsidRPr="000801C2" w:rsidTr="000D62A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5667C6" w:rsidRPr="000801C2" w:rsidRDefault="005667C6" w:rsidP="0018689F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ТОО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"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QUIP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" 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Алматы</w:t>
            </w:r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Толе Би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299, офис 401</w:t>
            </w:r>
            <w:r w:rsidR="00955DB9">
              <w:rPr>
                <w:rFonts w:ascii="Arial" w:eastAsia="Times New Roman" w:hAnsi="Arial" w:cs="Arial"/>
                <w:sz w:val="20"/>
                <w:szCs w:val="20"/>
              </w:rPr>
              <w:t>, 09</w:t>
            </w:r>
            <w:r w:rsidR="0018689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955DB9">
              <w:rPr>
                <w:rFonts w:ascii="Arial" w:eastAsia="Times New Roman" w:hAnsi="Arial" w:cs="Arial"/>
                <w:sz w:val="20"/>
                <w:szCs w:val="20"/>
              </w:rPr>
              <w:t xml:space="preserve">30 </w:t>
            </w:r>
            <w:proofErr w:type="spellStart"/>
            <w:r w:rsidR="0018689F">
              <w:rPr>
                <w:rFonts w:ascii="Arial" w:eastAsia="Times New Roman" w:hAnsi="Arial" w:cs="Arial"/>
                <w:sz w:val="20"/>
                <w:szCs w:val="20"/>
              </w:rPr>
              <w:t>алматинского</w:t>
            </w:r>
            <w:proofErr w:type="spellEnd"/>
            <w:r w:rsidR="0018689F">
              <w:rPr>
                <w:rFonts w:ascii="Arial" w:eastAsia="Times New Roman" w:hAnsi="Arial" w:cs="Arial"/>
                <w:sz w:val="20"/>
                <w:szCs w:val="20"/>
              </w:rPr>
              <w:t xml:space="preserve"> времени</w:t>
            </w:r>
          </w:p>
        </w:tc>
        <w:tc>
          <w:tcPr>
            <w:tcW w:w="1771" w:type="pct"/>
          </w:tcPr>
          <w:p w:rsidR="005667C6" w:rsidRPr="005667C6" w:rsidRDefault="00EB52A2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заявк</w:t>
            </w:r>
            <w:r w:rsidR="005667C6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 участие в конкурсе от 19 октября 2015 года (</w:t>
            </w:r>
            <w:r w:rsidR="003942C1"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техническ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спецификаци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я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закупаемых товаров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девять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устав ТОО "QUIP PRO" (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12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 государственной перерегистрации юридического лица от 16 мая 2010 года (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="00F32E33" w:rsidRPr="005667C6" w:rsidDel="003942C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14 октября 2015 года, выданное РГУ "Управление государственных доходов по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Ауэзовскому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"Банк Центр Кредит" об отсутствии задолженности перед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Алматинским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филиалом</w:t>
            </w:r>
            <w:r w:rsidR="00E11D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102/5-32-07/1262 с копиями доверенностей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не привлечении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с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видетельство о постановке на регистрационный учет по налогу на добавленную стоимость от 13 сентября 2012 года серия 60001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0013054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платежное поручение от 16 октября 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00000000256 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доверенность от 19 октября 2015 года на представление интересов потенциального поставщика ТОО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"QUIP PRO", выданная на имя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Танкова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И.Е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1D2CF3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справка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АО "Банк Центр Кредит" о наличии счетов</w:t>
            </w:r>
            <w:r w:rsidR="00E11D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102/5-32-07/1260 (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 xml:space="preserve">оригинал,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C6" w:rsidRPr="000801C2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52A2" w:rsidRPr="000801C2" w:rsidTr="000D62A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5667C6" w:rsidRPr="000801C2" w:rsidRDefault="005667C6" w:rsidP="0018689F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"СОФТ"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Мынбаева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46,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офис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401</w:t>
            </w:r>
            <w:r w:rsidR="0018689F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>09.</w:t>
            </w:r>
            <w:r w:rsidR="001868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  <w:proofErr w:type="spellStart"/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>алматинского</w:t>
            </w:r>
            <w:proofErr w:type="spellEnd"/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 xml:space="preserve"> времени</w:t>
            </w:r>
          </w:p>
        </w:tc>
        <w:tc>
          <w:tcPr>
            <w:tcW w:w="1771" w:type="pct"/>
          </w:tcPr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заявк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 участие в конкурсе от 15 октября 2015 года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устав ТОО "СОФТ"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восемь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 государственной перерегистрации юридического лица от 09 ноября 2010 года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налогоплательщика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не привлечении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справк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АФ АО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Казкомерцбанк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 наличии счетов 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 95107272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08 октября 2015 года, выданное РГУ "Управление государственных доходов по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Бостандыкскому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четыре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рекомендательно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письм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от АО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"Народный банк Казахстана"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копия, 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рекомендательно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письм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First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International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oil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Corporation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Limited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от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мая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2011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11-023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копия, 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техническая спецификация закупаемых товаров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248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2E3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249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2E3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250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в качестве обеспечения заявки на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2E3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251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F1743"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252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247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246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245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18689F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244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18689F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667C6" w:rsidRPr="001D2CF3" w:rsidRDefault="0018689F" w:rsidP="0018689F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18689F">
              <w:rPr>
                <w:rFonts w:ascii="Arial" w:eastAsia="Times New Roman" w:hAnsi="Arial" w:cs="Arial"/>
                <w:sz w:val="18"/>
                <w:szCs w:val="18"/>
              </w:rPr>
              <w:t>– оригинал справки АО "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Казкоммерцбанк</w:t>
            </w:r>
            <w:proofErr w:type="spellEnd"/>
            <w:r w:rsidRPr="0018689F">
              <w:rPr>
                <w:rFonts w:ascii="Arial" w:eastAsia="Times New Roman" w:hAnsi="Arial" w:cs="Arial"/>
                <w:sz w:val="18"/>
                <w:szCs w:val="18"/>
              </w:rPr>
              <w:t xml:space="preserve">" об отсутствии задолженности перед </w:t>
            </w:r>
            <w:proofErr w:type="spellStart"/>
            <w:r w:rsidRPr="0018689F">
              <w:rPr>
                <w:rFonts w:ascii="Arial" w:eastAsia="Times New Roman" w:hAnsi="Arial" w:cs="Arial"/>
                <w:sz w:val="18"/>
                <w:szCs w:val="18"/>
              </w:rPr>
              <w:t>Алматинским</w:t>
            </w:r>
            <w:proofErr w:type="spellEnd"/>
            <w:r w:rsidRPr="0018689F">
              <w:rPr>
                <w:rFonts w:ascii="Arial" w:eastAsia="Times New Roman" w:hAnsi="Arial" w:cs="Arial"/>
                <w:sz w:val="18"/>
                <w:szCs w:val="18"/>
              </w:rPr>
              <w:t xml:space="preserve"> филиалом от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02</w:t>
            </w:r>
            <w:r w:rsidRPr="0018689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но</w:t>
            </w:r>
            <w:r w:rsidRPr="0018689F">
              <w:rPr>
                <w:rFonts w:ascii="Arial" w:eastAsia="Times New Roman" w:hAnsi="Arial" w:cs="Arial"/>
                <w:sz w:val="18"/>
                <w:szCs w:val="18"/>
              </w:rPr>
              <w:t xml:space="preserve">ября 2015 года №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96196894</w:t>
            </w:r>
            <w:r w:rsidRPr="0018689F">
              <w:rPr>
                <w:rFonts w:ascii="Arial" w:eastAsia="Times New Roman" w:hAnsi="Arial" w:cs="Arial"/>
                <w:sz w:val="18"/>
                <w:szCs w:val="18"/>
              </w:rPr>
              <w:t xml:space="preserve"> с копиями доверенностей (три листа)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25" w:rsidRPr="000801C2" w:rsidRDefault="002F1E25" w:rsidP="004D4AFE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52A2" w:rsidRPr="000801C2" w:rsidTr="000D62A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5667C6" w:rsidRPr="000801C2" w:rsidRDefault="005667C6" w:rsidP="0018689F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ТОО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" </w:t>
            </w:r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TRANSWORKS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Ltd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." 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Алматы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67C6"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="006F1743"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Фурманова, 103, 7</w:t>
            </w:r>
            <w:r w:rsidR="006F1743">
              <w:rPr>
                <w:rFonts w:ascii="Arial" w:eastAsia="Times New Roman" w:hAnsi="Arial" w:cs="Arial"/>
                <w:sz w:val="20"/>
                <w:szCs w:val="20"/>
              </w:rPr>
              <w:t>-ой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 xml:space="preserve"> этаж</w:t>
            </w:r>
            <w:r w:rsidR="0018689F">
              <w:rPr>
                <w:rFonts w:ascii="Arial" w:eastAsia="Times New Roman" w:hAnsi="Arial" w:cs="Arial"/>
                <w:sz w:val="20"/>
                <w:szCs w:val="20"/>
              </w:rPr>
              <w:t>, 12</w:t>
            </w:r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8689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>алматинского</w:t>
            </w:r>
            <w:proofErr w:type="spellEnd"/>
            <w:r w:rsidR="0018689F" w:rsidRPr="0018689F">
              <w:rPr>
                <w:rFonts w:ascii="Arial" w:eastAsia="Times New Roman" w:hAnsi="Arial" w:cs="Arial"/>
                <w:sz w:val="20"/>
                <w:szCs w:val="20"/>
              </w:rPr>
              <w:t xml:space="preserve"> времени</w:t>
            </w:r>
          </w:p>
        </w:tc>
        <w:tc>
          <w:tcPr>
            <w:tcW w:w="1771" w:type="pct"/>
          </w:tcPr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заявк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 участие в конкурсе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>от 19 октября 2015 года</w:t>
            </w:r>
            <w:r w:rsidRPr="006F1743" w:rsidDel="006F174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18689F">
              <w:rPr>
                <w:rFonts w:ascii="Arial" w:eastAsia="Times New Roman" w:hAnsi="Arial" w:cs="Arial"/>
                <w:sz w:val="18"/>
                <w:szCs w:val="18"/>
              </w:rPr>
              <w:t>устав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 семь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 государственной перерегистрации юридического лица</w:t>
            </w:r>
            <w:r w:rsidR="00E11D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августа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2009 года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Банк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ЦентрКредит</w:t>
            </w:r>
            <w:proofErr w:type="spellEnd"/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об отсутствии задолженности перед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Алматинским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филиалом 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103/5-9-20/1909 с копиями доверенностей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12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октября 2015 года, выданное РГУ "Управление государственных доходов по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Алмалинскому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четыре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ForteBank</w:t>
            </w:r>
            <w:proofErr w:type="spellEnd"/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об отсутствии задолженности перед банком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19-1-2-1/8710 с копиями доверенностей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пять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не привлечени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 01/229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доверенность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на представление интересов потенциального поставщика ТОО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.", выданная на имя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Резцова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Игоря Анатольевича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3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4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7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9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); 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 w:rsidR="003E355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="005667C6" w:rsidRPr="005667C6">
              <w:rPr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14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16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14 января 2014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04/01-2014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04 марта 2013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03/02-2013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19 апреля 2012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49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26 мая 2011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1561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21 мая 2010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489-10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техническая спецификация закупаемых товаров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девять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оригинал платежного поручения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524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г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осударственная лицензия от 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августа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2015 года на разработку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и реализацию сре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дств кр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иптографической защиты информации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C6" w:rsidRPr="000801C2" w:rsidRDefault="005667C6" w:rsidP="00534B9C">
            <w:pPr>
              <w:widowControl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D4112" w:rsidRDefault="001D2CF3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1D2CF3">
        <w:rPr>
          <w:rFonts w:ascii="Arial" w:eastAsia="Times New Roman" w:hAnsi="Arial" w:cs="Arial"/>
          <w:sz w:val="20"/>
          <w:szCs w:val="20"/>
        </w:rPr>
        <w:lastRenderedPageBreak/>
        <w:t xml:space="preserve">оглашены всем присутствующим </w:t>
      </w:r>
      <w:r>
        <w:rPr>
          <w:rFonts w:ascii="Arial" w:eastAsia="Times New Roman" w:hAnsi="Arial" w:cs="Arial"/>
          <w:sz w:val="20"/>
          <w:szCs w:val="20"/>
        </w:rPr>
        <w:t>в заседании конкурсной комиссии</w:t>
      </w:r>
      <w:r w:rsidR="00FC1279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18689F" w:rsidRDefault="003E355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0A774E" w:rsidRPr="000A774E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="0018689F" w:rsidRPr="0018689F">
        <w:rPr>
          <w:rFonts w:ascii="Arial" w:eastAsia="Times New Roman" w:hAnsi="Arial" w:cs="Arial"/>
          <w:sz w:val="20"/>
          <w:szCs w:val="20"/>
        </w:rPr>
        <w:t>Следующие конкурсные заявки на участие в конкурсе отклонены к участию в конкурсе:</w:t>
      </w:r>
      <w:r w:rsidR="0018689F">
        <w:rPr>
          <w:rFonts w:ascii="Arial" w:eastAsia="Times New Roman" w:hAnsi="Arial" w:cs="Arial"/>
          <w:sz w:val="20"/>
          <w:szCs w:val="20"/>
        </w:rPr>
        <w:t xml:space="preserve"> </w:t>
      </w:r>
      <w:r w:rsidR="00747492" w:rsidRPr="00747492">
        <w:rPr>
          <w:rFonts w:ascii="Arial" w:eastAsia="Times New Roman" w:hAnsi="Arial" w:cs="Arial"/>
          <w:b/>
          <w:sz w:val="20"/>
          <w:szCs w:val="20"/>
        </w:rPr>
        <w:t>отсутствуют;</w:t>
      </w:r>
    </w:p>
    <w:p w:rsidR="006A53BB" w:rsidRPr="00534B9C" w:rsidRDefault="00747492" w:rsidP="00747492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Pr="00747492">
        <w:rPr>
          <w:rFonts w:ascii="Arial" w:eastAsia="Times New Roman" w:hAnsi="Arial" w:cs="Arial"/>
          <w:sz w:val="20"/>
          <w:szCs w:val="20"/>
        </w:rPr>
        <w:t>Конкурсные заявки потенциальных поставщиков, которые соответствуют квалификационным требованиям и иным требованиям конкурсной документации</w:t>
      </w:r>
    </w:p>
    <w:tbl>
      <w:tblPr>
        <w:tblStyle w:val="1"/>
        <w:tblW w:w="9191" w:type="dxa"/>
        <w:tblInd w:w="97" w:type="dxa"/>
        <w:tblLook w:val="04A0" w:firstRow="1" w:lastRow="0" w:firstColumn="1" w:lastColumn="0" w:noHBand="0" w:noVBand="1"/>
      </w:tblPr>
      <w:tblGrid>
        <w:gridCol w:w="560"/>
        <w:gridCol w:w="3951"/>
        <w:gridCol w:w="4680"/>
      </w:tblGrid>
      <w:tr w:rsidR="00534B9C" w:rsidRPr="00534B9C" w:rsidTr="00602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п</w:t>
            </w:r>
            <w:proofErr w:type="gramEnd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3951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потенциального поставщика</w:t>
            </w:r>
            <w:r w:rsidRPr="00534B9C">
              <w:rPr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соответствующего квалификационным требованиям и требованиям конкурсной документации</w:t>
            </w:r>
          </w:p>
        </w:tc>
        <w:tc>
          <w:tcPr>
            <w:tcW w:w="4680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Наименование и номер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л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ота</w:t>
            </w:r>
          </w:p>
        </w:tc>
      </w:tr>
      <w:tr w:rsidR="00534B9C" w:rsidRPr="00534B9C" w:rsidTr="00602060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51" w:type="dxa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ТОО</w:t>
            </w:r>
            <w:r w:rsidRPr="00534B9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"QUIP PRO" </w:t>
            </w:r>
          </w:p>
        </w:tc>
        <w:tc>
          <w:tcPr>
            <w:tcW w:w="4680" w:type="dxa"/>
          </w:tcPr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Блок питания для серверов HP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1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Оперативная память для серверов HP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ind w:left="-18" w:firstLine="18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Оперативная память для серверов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ind w:left="72" w:hanging="7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Оперативная память для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блэйд</w:t>
            </w:r>
            <w:proofErr w:type="spellEnd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-серверов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proofErr w:type="gramStart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  <w:proofErr w:type="gramEnd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E1A87" w:rsidRDefault="00A757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</w:p>
          <w:p w:rsidR="00534B9C" w:rsidRPr="00534B9C" w:rsidRDefault="00BE1A87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BE1A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(лот №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Оптическая сетевая карта HP AJ763A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;   </w:t>
            </w:r>
          </w:p>
          <w:p w:rsidR="00534B9C" w:rsidRDefault="00A75792" w:rsidP="00A75792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Жесткий диск SAS 3,5 2Тб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284B2D" w:rsidRPr="00534B9C" w:rsidRDefault="00284B2D" w:rsidP="00A75792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47492" w:rsidRPr="00534B9C" w:rsidTr="00602060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7492" w:rsidRPr="00534B9C" w:rsidRDefault="00747492" w:rsidP="00534B9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951" w:type="dxa"/>
          </w:tcPr>
          <w:p w:rsidR="00747492" w:rsidRPr="00534B9C" w:rsidRDefault="00747492" w:rsidP="002D273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F1E25">
              <w:rPr>
                <w:rFonts w:ascii="Arial" w:eastAsia="Times New Roman" w:hAnsi="Arial" w:cs="Arial"/>
                <w:sz w:val="20"/>
                <w:szCs w:val="20"/>
              </w:rPr>
              <w:t>ТОО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"</w:t>
            </w:r>
            <w:r w:rsidRPr="002F1E25">
              <w:rPr>
                <w:rFonts w:ascii="Arial" w:eastAsia="Times New Roman" w:hAnsi="Arial" w:cs="Arial"/>
                <w:sz w:val="20"/>
                <w:szCs w:val="20"/>
              </w:rPr>
              <w:t>СОФТ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" </w:t>
            </w:r>
          </w:p>
        </w:tc>
        <w:tc>
          <w:tcPr>
            <w:tcW w:w="4680" w:type="dxa"/>
          </w:tcPr>
          <w:p w:rsidR="00747492" w:rsidRPr="00814A8A" w:rsidRDefault="00747492" w:rsidP="002D2733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Блок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питания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серверов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HP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br/>
              <w:t>(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1);</w:t>
            </w:r>
          </w:p>
          <w:p w:rsidR="00747492" w:rsidRPr="00814A8A" w:rsidRDefault="00747492" w:rsidP="002D2733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Pr="007A68F7">
              <w:rPr>
                <w:rFonts w:ascii="Arial" w:eastAsia="Times New Roman" w:hAnsi="Arial" w:cs="Arial"/>
                <w:sz w:val="18"/>
                <w:szCs w:val="18"/>
              </w:rPr>
              <w:t>Жесткие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A68F7">
              <w:rPr>
                <w:rFonts w:ascii="Arial" w:eastAsia="Times New Roman" w:hAnsi="Arial" w:cs="Arial"/>
                <w:sz w:val="18"/>
                <w:szCs w:val="18"/>
              </w:rPr>
              <w:t>диски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A68F7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A68F7">
              <w:rPr>
                <w:rFonts w:ascii="Arial" w:eastAsia="Times New Roman" w:hAnsi="Arial" w:cs="Arial"/>
                <w:sz w:val="18"/>
                <w:szCs w:val="18"/>
              </w:rPr>
              <w:t>блэйд</w:t>
            </w:r>
            <w:proofErr w:type="spellEnd"/>
            <w:r w:rsidRPr="00814A8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7A68F7">
              <w:rPr>
                <w:rFonts w:ascii="Arial" w:eastAsia="Times New Roman" w:hAnsi="Arial" w:cs="Arial"/>
                <w:sz w:val="18"/>
                <w:szCs w:val="18"/>
              </w:rPr>
              <w:t>серверов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8);</w:t>
            </w:r>
          </w:p>
          <w:p w:rsidR="00747492" w:rsidRPr="00814A8A" w:rsidRDefault="00747492" w:rsidP="002D2733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Жесткие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диски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дискового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массива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9);</w:t>
            </w:r>
          </w:p>
          <w:p w:rsidR="00747492" w:rsidRPr="00814A8A" w:rsidRDefault="00747492" w:rsidP="002D2733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Жесткие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диски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дискового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массива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10);</w:t>
            </w:r>
          </w:p>
          <w:p w:rsidR="00747492" w:rsidRPr="004D4AFE" w:rsidRDefault="00747492" w:rsidP="002D2733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Модуль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управления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шасси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лезвиями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BMB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CMM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>-002 (</w:t>
            </w: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mini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CMM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814A8A">
              <w:t xml:space="preserve"> 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№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Pr="004D4AFE" w:rsidRDefault="00747492" w:rsidP="002D2733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284B2D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4D4AFE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 ESDS S48F-R2842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Default="00747492" w:rsidP="002D2733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Сетевой модуль для лезвия </w:t>
            </w:r>
            <w:proofErr w:type="spellStart"/>
            <w:r w:rsidRPr="004D4AFE">
              <w:rPr>
                <w:rFonts w:ascii="Arial" w:eastAsia="Times New Roman" w:hAnsi="Arial" w:cs="Arial"/>
                <w:sz w:val="18"/>
                <w:szCs w:val="18"/>
              </w:rPr>
              <w:t>Super</w:t>
            </w:r>
            <w:proofErr w:type="spellEnd"/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 B7DC3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(лот №</w:t>
            </w:r>
            <w:r w:rsidR="000F6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Pr="000D62A8" w:rsidRDefault="00747492" w:rsidP="002D2733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7A68F7">
              <w:rPr>
                <w:rFonts w:ascii="Arial" w:eastAsia="Times New Roman" w:hAnsi="Arial" w:cs="Arial"/>
                <w:sz w:val="18"/>
                <w:szCs w:val="18"/>
              </w:rPr>
              <w:t>Контроллер</w:t>
            </w:r>
            <w:r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QLogic</w:t>
            </w:r>
            <w:proofErr w:type="spellEnd"/>
            <w:r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№ 14);</w:t>
            </w:r>
          </w:p>
          <w:p w:rsidR="00747492" w:rsidRDefault="00747492" w:rsidP="002D2733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284B2D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Жесткий диск SAS 3,5 2Тб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747492" w:rsidRPr="00534B9C" w:rsidRDefault="00747492" w:rsidP="002D27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47492" w:rsidRPr="00534B9C" w:rsidTr="00602060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7492" w:rsidRPr="00534B9C" w:rsidRDefault="00747492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951" w:type="dxa"/>
          </w:tcPr>
          <w:p w:rsidR="00747492" w:rsidRPr="00534B9C" w:rsidRDefault="00747492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ТОО</w:t>
            </w:r>
            <w:r w:rsidRPr="00534B9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 TRANSWORKS Ltd."</w:t>
            </w:r>
          </w:p>
        </w:tc>
        <w:tc>
          <w:tcPr>
            <w:tcW w:w="4680" w:type="dxa"/>
          </w:tcPr>
          <w:p w:rsidR="00747492" w:rsidRPr="00534B9C" w:rsidRDefault="007474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Блок питания для серверов HP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(лот № 1)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Pr="00534B9C" w:rsidRDefault="007474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Оперативная память для серверов HP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 № 3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Default="007474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Оперативная память для серверов </w:t>
            </w:r>
          </w:p>
          <w:p w:rsidR="00747492" w:rsidRPr="00534B9C" w:rsidRDefault="007474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 № 4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Default="007474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Операт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ивная память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блэйд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-серверов</w:t>
            </w:r>
          </w:p>
          <w:p w:rsidR="00747492" w:rsidRPr="00534B9C" w:rsidRDefault="007474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 № 7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Pr="00534B9C" w:rsidRDefault="007474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 № 9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47492" w:rsidRPr="00534B9C" w:rsidRDefault="007474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 ESDS S48F-R2842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 № 11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;  </w:t>
            </w:r>
          </w:p>
          <w:p w:rsidR="00747492" w:rsidRPr="00BE1A87" w:rsidRDefault="007474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Контроллер</w:t>
            </w:r>
            <w:r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QLogic</w:t>
            </w:r>
            <w:proofErr w:type="spellEnd"/>
            <w:r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№ 14);</w:t>
            </w:r>
          </w:p>
          <w:p w:rsidR="00747492" w:rsidRPr="00534B9C" w:rsidRDefault="007474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Жесткий диск SAS 3,5 2Тб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лот № 16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:rsidR="00534B9C" w:rsidRDefault="00534B9C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</w:p>
    <w:p w:rsidR="00284B2D" w:rsidRDefault="00747492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D67FA1" w:rsidRPr="00D67FA1">
        <w:rPr>
          <w:rFonts w:ascii="Arial" w:eastAsia="Times New Roman" w:hAnsi="Arial" w:cs="Arial"/>
          <w:sz w:val="20"/>
          <w:szCs w:val="20"/>
        </w:rPr>
        <w:t>.</w:t>
      </w:r>
      <w:r w:rsidR="003E3550"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рассмотрения заявок на участие </w:t>
      </w:r>
      <w:r w:rsidR="0043244B">
        <w:rPr>
          <w:rFonts w:ascii="Arial" w:eastAsia="Times New Roman" w:hAnsi="Arial" w:cs="Arial"/>
          <w:sz w:val="20"/>
          <w:szCs w:val="20"/>
        </w:rPr>
        <w:br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в конкурсе путем открытого голосования </w:t>
      </w:r>
    </w:p>
    <w:p w:rsidR="00D67FA1" w:rsidRP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F2393A" w:rsidRDefault="0043244B" w:rsidP="00F2393A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5F7D2F" w:rsidRPr="005F7D2F">
        <w:rPr>
          <w:rFonts w:ascii="Arial" w:eastAsia="Times New Roman" w:hAnsi="Arial" w:cs="Arial"/>
          <w:sz w:val="20"/>
          <w:szCs w:val="20"/>
        </w:rPr>
        <w:t>допустить к участию в конкурсе следующих потенциальных поставщиков:</w:t>
      </w:r>
      <w:r w:rsidR="005F7D2F">
        <w:rPr>
          <w:rFonts w:ascii="Arial" w:eastAsia="Times New Roman" w:hAnsi="Arial" w:cs="Arial"/>
          <w:sz w:val="20"/>
          <w:szCs w:val="20"/>
        </w:rPr>
        <w:br/>
      </w:r>
      <w:r w:rsidR="005F7D2F" w:rsidRPr="005F7D2F">
        <w:rPr>
          <w:rFonts w:ascii="Arial" w:eastAsia="Times New Roman" w:hAnsi="Arial" w:cs="Arial"/>
          <w:sz w:val="20"/>
          <w:szCs w:val="20"/>
        </w:rPr>
        <w:t>–</w:t>
      </w:r>
      <w:r w:rsidR="005F7D2F">
        <w:rPr>
          <w:rFonts w:ascii="Arial" w:eastAsia="Times New Roman" w:hAnsi="Arial" w:cs="Arial"/>
          <w:sz w:val="20"/>
          <w:szCs w:val="20"/>
        </w:rPr>
        <w:tab/>
      </w:r>
      <w:r w:rsidR="005F7D2F" w:rsidRPr="005F7D2F">
        <w:rPr>
          <w:rFonts w:ascii="Arial" w:eastAsia="Times New Roman" w:hAnsi="Arial" w:cs="Arial"/>
          <w:sz w:val="20"/>
          <w:szCs w:val="20"/>
        </w:rPr>
        <w:t>ТОО "QUIP PRO"</w:t>
      </w:r>
      <w:r w:rsidR="005F7D2F">
        <w:rPr>
          <w:rFonts w:ascii="Arial" w:eastAsia="Times New Roman" w:hAnsi="Arial" w:cs="Arial"/>
          <w:sz w:val="20"/>
          <w:szCs w:val="20"/>
        </w:rPr>
        <w:t>,</w:t>
      </w:r>
      <w:r w:rsidR="005F7D2F" w:rsidRPr="005F7D2F">
        <w:rPr>
          <w:rFonts w:ascii="Arial" w:eastAsia="Times New Roman" w:hAnsi="Arial" w:cs="Arial"/>
          <w:sz w:val="20"/>
          <w:szCs w:val="20"/>
        </w:rPr>
        <w:t xml:space="preserve"> по следующим лотам: №№</w:t>
      </w:r>
      <w:r w:rsidR="00860474">
        <w:rPr>
          <w:rFonts w:ascii="Arial" w:eastAsia="Times New Roman" w:hAnsi="Arial" w:cs="Arial"/>
          <w:sz w:val="20"/>
          <w:szCs w:val="20"/>
        </w:rPr>
        <w:t> </w:t>
      </w:r>
      <w:r w:rsidR="005F7D2F" w:rsidRPr="005F7D2F">
        <w:rPr>
          <w:rFonts w:ascii="Arial" w:eastAsia="Times New Roman" w:hAnsi="Arial" w:cs="Arial"/>
          <w:sz w:val="20"/>
          <w:szCs w:val="20"/>
        </w:rPr>
        <w:t xml:space="preserve">1, </w:t>
      </w:r>
      <w:r w:rsidR="00F2393A">
        <w:rPr>
          <w:rFonts w:ascii="Arial" w:eastAsia="Times New Roman" w:hAnsi="Arial" w:cs="Arial"/>
          <w:sz w:val="20"/>
          <w:szCs w:val="20"/>
        </w:rPr>
        <w:t>3</w:t>
      </w:r>
      <w:r w:rsidR="005F7D2F" w:rsidRPr="005F7D2F">
        <w:rPr>
          <w:rFonts w:ascii="Arial" w:eastAsia="Times New Roman" w:hAnsi="Arial" w:cs="Arial"/>
          <w:sz w:val="20"/>
          <w:szCs w:val="20"/>
        </w:rPr>
        <w:t xml:space="preserve">, </w:t>
      </w:r>
      <w:r w:rsidR="00F2393A">
        <w:rPr>
          <w:rFonts w:ascii="Arial" w:eastAsia="Times New Roman" w:hAnsi="Arial" w:cs="Arial"/>
          <w:sz w:val="20"/>
          <w:szCs w:val="20"/>
        </w:rPr>
        <w:t>4</w:t>
      </w:r>
      <w:r w:rsidR="005F7D2F" w:rsidRPr="005F7D2F">
        <w:rPr>
          <w:rFonts w:ascii="Arial" w:eastAsia="Times New Roman" w:hAnsi="Arial" w:cs="Arial"/>
          <w:sz w:val="20"/>
          <w:szCs w:val="20"/>
        </w:rPr>
        <w:t xml:space="preserve">, </w:t>
      </w:r>
      <w:r w:rsidR="00F2393A">
        <w:rPr>
          <w:rFonts w:ascii="Arial" w:eastAsia="Times New Roman" w:hAnsi="Arial" w:cs="Arial"/>
          <w:sz w:val="20"/>
          <w:szCs w:val="20"/>
        </w:rPr>
        <w:t>7</w:t>
      </w:r>
      <w:r w:rsidR="005F7D2F" w:rsidRPr="005F7D2F">
        <w:rPr>
          <w:rFonts w:ascii="Arial" w:eastAsia="Times New Roman" w:hAnsi="Arial" w:cs="Arial"/>
          <w:sz w:val="20"/>
          <w:szCs w:val="20"/>
        </w:rPr>
        <w:t xml:space="preserve">, </w:t>
      </w:r>
      <w:r w:rsidR="00F2393A">
        <w:rPr>
          <w:rFonts w:ascii="Arial" w:eastAsia="Times New Roman" w:hAnsi="Arial" w:cs="Arial"/>
          <w:sz w:val="20"/>
          <w:szCs w:val="20"/>
        </w:rPr>
        <w:t>9</w:t>
      </w:r>
      <w:r w:rsidR="005F7D2F" w:rsidRPr="005F7D2F">
        <w:rPr>
          <w:rFonts w:ascii="Arial" w:eastAsia="Times New Roman" w:hAnsi="Arial" w:cs="Arial"/>
          <w:sz w:val="20"/>
          <w:szCs w:val="20"/>
        </w:rPr>
        <w:t>, 1</w:t>
      </w:r>
      <w:r w:rsidR="00F2393A">
        <w:rPr>
          <w:rFonts w:ascii="Arial" w:eastAsia="Times New Roman" w:hAnsi="Arial" w:cs="Arial"/>
          <w:sz w:val="20"/>
          <w:szCs w:val="20"/>
        </w:rPr>
        <w:t>5</w:t>
      </w:r>
      <w:r w:rsidR="005F7D2F" w:rsidRPr="005F7D2F">
        <w:rPr>
          <w:rFonts w:ascii="Arial" w:eastAsia="Times New Roman" w:hAnsi="Arial" w:cs="Arial"/>
          <w:sz w:val="20"/>
          <w:szCs w:val="20"/>
        </w:rPr>
        <w:t>, 16;</w:t>
      </w:r>
      <w:r w:rsidR="005F7D2F">
        <w:rPr>
          <w:rFonts w:ascii="Arial" w:eastAsia="Times New Roman" w:hAnsi="Arial" w:cs="Arial"/>
          <w:sz w:val="20"/>
          <w:szCs w:val="20"/>
        </w:rPr>
        <w:t xml:space="preserve"> </w:t>
      </w:r>
      <w:r w:rsidR="005F7D2F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–</w:t>
      </w:r>
      <w:r w:rsidR="00D67FA1"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ТОО "СОФТ", по следующим лотам: </w:t>
      </w:r>
      <w:r>
        <w:rPr>
          <w:rFonts w:ascii="Arial" w:eastAsia="Times New Roman" w:hAnsi="Arial" w:cs="Arial"/>
          <w:sz w:val="20"/>
          <w:szCs w:val="20"/>
        </w:rPr>
        <w:t>№№ </w:t>
      </w:r>
      <w:r w:rsidR="00D67FA1">
        <w:rPr>
          <w:rFonts w:ascii="Arial" w:eastAsia="Times New Roman" w:hAnsi="Arial" w:cs="Arial"/>
          <w:sz w:val="20"/>
          <w:szCs w:val="20"/>
        </w:rPr>
        <w:t>1, 8, 9, 10, 11, 12, 13, 14, 16;</w:t>
      </w:r>
      <w:r w:rsidR="00F2393A">
        <w:rPr>
          <w:rFonts w:ascii="Arial" w:eastAsia="Times New Roman" w:hAnsi="Arial" w:cs="Arial"/>
          <w:sz w:val="20"/>
          <w:szCs w:val="20"/>
        </w:rPr>
        <w:br/>
      </w:r>
      <w:r w:rsidR="00F2393A" w:rsidRPr="00F2393A">
        <w:rPr>
          <w:rFonts w:ascii="Arial" w:eastAsia="Times New Roman" w:hAnsi="Arial" w:cs="Arial"/>
          <w:sz w:val="20"/>
          <w:szCs w:val="20"/>
        </w:rPr>
        <w:t>–</w:t>
      </w:r>
      <w:r w:rsidR="00F2393A">
        <w:rPr>
          <w:rFonts w:ascii="Arial" w:eastAsia="Times New Roman" w:hAnsi="Arial" w:cs="Arial"/>
          <w:sz w:val="20"/>
          <w:szCs w:val="20"/>
        </w:rPr>
        <w:tab/>
      </w:r>
      <w:r w:rsidR="00F2393A" w:rsidRPr="00F2393A">
        <w:rPr>
          <w:rFonts w:ascii="Arial" w:eastAsia="Times New Roman" w:hAnsi="Arial" w:cs="Arial"/>
          <w:sz w:val="20"/>
          <w:szCs w:val="20"/>
        </w:rPr>
        <w:t xml:space="preserve">ТОО " TRANSWORKS </w:t>
      </w:r>
      <w:proofErr w:type="spellStart"/>
      <w:r w:rsidR="00F2393A" w:rsidRPr="00F2393A">
        <w:rPr>
          <w:rFonts w:ascii="Arial" w:eastAsia="Times New Roman" w:hAnsi="Arial" w:cs="Arial"/>
          <w:sz w:val="20"/>
          <w:szCs w:val="20"/>
        </w:rPr>
        <w:t>Ltd</w:t>
      </w:r>
      <w:proofErr w:type="spellEnd"/>
      <w:r w:rsidR="00F2393A" w:rsidRPr="00F2393A">
        <w:rPr>
          <w:rFonts w:ascii="Arial" w:eastAsia="Times New Roman" w:hAnsi="Arial" w:cs="Arial"/>
          <w:sz w:val="20"/>
          <w:szCs w:val="20"/>
        </w:rPr>
        <w:t>."</w:t>
      </w:r>
      <w:r w:rsidR="00F2393A">
        <w:rPr>
          <w:rFonts w:ascii="Arial" w:eastAsia="Times New Roman" w:hAnsi="Arial" w:cs="Arial"/>
          <w:sz w:val="20"/>
          <w:szCs w:val="20"/>
        </w:rPr>
        <w:t xml:space="preserve">, </w:t>
      </w:r>
      <w:r w:rsidR="00F2393A" w:rsidRPr="00F2393A">
        <w:rPr>
          <w:rFonts w:ascii="Arial" w:eastAsia="Times New Roman" w:hAnsi="Arial" w:cs="Arial"/>
          <w:sz w:val="20"/>
          <w:szCs w:val="20"/>
        </w:rPr>
        <w:t>по следующим лотам: №№</w:t>
      </w:r>
      <w:r w:rsidR="00860474">
        <w:rPr>
          <w:rFonts w:ascii="Arial" w:eastAsia="Times New Roman" w:hAnsi="Arial" w:cs="Arial"/>
          <w:sz w:val="20"/>
          <w:szCs w:val="20"/>
        </w:rPr>
        <w:t> </w:t>
      </w:r>
      <w:r w:rsidR="00F2393A" w:rsidRPr="00F2393A">
        <w:rPr>
          <w:rFonts w:ascii="Arial" w:eastAsia="Times New Roman" w:hAnsi="Arial" w:cs="Arial"/>
          <w:sz w:val="20"/>
          <w:szCs w:val="20"/>
        </w:rPr>
        <w:t xml:space="preserve"> 1, 3, 4, 7, 9, 1</w:t>
      </w:r>
      <w:r w:rsidR="00F2393A">
        <w:rPr>
          <w:rFonts w:ascii="Arial" w:eastAsia="Times New Roman" w:hAnsi="Arial" w:cs="Arial"/>
          <w:sz w:val="20"/>
          <w:szCs w:val="20"/>
        </w:rPr>
        <w:t>1</w:t>
      </w:r>
      <w:r w:rsidR="00F2393A" w:rsidRPr="00F2393A">
        <w:rPr>
          <w:rFonts w:ascii="Arial" w:eastAsia="Times New Roman" w:hAnsi="Arial" w:cs="Arial"/>
          <w:sz w:val="20"/>
          <w:szCs w:val="20"/>
        </w:rPr>
        <w:t>, 16</w:t>
      </w:r>
      <w:r w:rsidR="00F2393A">
        <w:rPr>
          <w:rFonts w:ascii="Arial" w:eastAsia="Times New Roman" w:hAnsi="Arial" w:cs="Arial"/>
          <w:sz w:val="20"/>
          <w:szCs w:val="20"/>
        </w:rPr>
        <w:t>.</w:t>
      </w:r>
    </w:p>
    <w:p w:rsidR="00F2393A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F2393A" w:rsidRPr="00F2393A">
        <w:rPr>
          <w:rFonts w:ascii="Arial" w:eastAsia="Times New Roman" w:hAnsi="Arial" w:cs="Arial"/>
          <w:sz w:val="20"/>
          <w:szCs w:val="20"/>
        </w:rPr>
        <w:t>определить значения критериев оценки конкурсных заявок потенциальных поставщиков допущенных к участию в конкурсе согласно приложенной форме;</w:t>
      </w:r>
    </w:p>
    <w:p w:rsidR="00D67FA1" w:rsidRDefault="00F2393A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Pr="00F2393A">
        <w:rPr>
          <w:rFonts w:ascii="Arial" w:eastAsia="Times New Roman" w:hAnsi="Arial" w:cs="Arial"/>
          <w:sz w:val="20"/>
          <w:szCs w:val="20"/>
        </w:rPr>
        <w:t xml:space="preserve">назначить день, время и место приема конвертов с конкурсными ценовыми предложениями </w:t>
      </w:r>
      <w:proofErr w:type="gramStart"/>
      <w:r w:rsidRPr="00F2393A">
        <w:rPr>
          <w:rFonts w:ascii="Arial" w:eastAsia="Times New Roman" w:hAnsi="Arial" w:cs="Arial"/>
          <w:sz w:val="20"/>
          <w:szCs w:val="20"/>
        </w:rPr>
        <w:t>на</w:t>
      </w:r>
      <w:proofErr w:type="gramEnd"/>
      <w:r w:rsidR="00D67FA1">
        <w:rPr>
          <w:rFonts w:ascii="Arial" w:eastAsia="Times New Roman" w:hAnsi="Arial" w:cs="Arial"/>
          <w:sz w:val="20"/>
          <w:szCs w:val="20"/>
        </w:rPr>
        <w:t>:</w:t>
      </w:r>
    </w:p>
    <w:p w:rsidR="00D67FA1" w:rsidRDefault="0043244B" w:rsidP="00534B9C">
      <w:pPr>
        <w:tabs>
          <w:tab w:val="left" w:pos="432"/>
          <w:tab w:val="left" w:pos="864"/>
          <w:tab w:val="left" w:pos="1296"/>
        </w:tabs>
        <w:spacing w:after="120" w:line="240" w:lineRule="auto"/>
        <w:ind w:left="1296" w:hanging="129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ab/>
      </w:r>
      <w:r w:rsidR="00D67FA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–</w:t>
      </w:r>
      <w:r w:rsidR="00D67FA1">
        <w:rPr>
          <w:rFonts w:ascii="Arial" w:eastAsia="Times New Roman" w:hAnsi="Arial" w:cs="Arial"/>
          <w:sz w:val="20"/>
          <w:szCs w:val="20"/>
        </w:rPr>
        <w:tab/>
      </w:r>
      <w:r w:rsidR="00BF4591">
        <w:rPr>
          <w:rFonts w:ascii="Arial" w:eastAsia="Times New Roman" w:hAnsi="Arial" w:cs="Arial"/>
          <w:sz w:val="20"/>
          <w:szCs w:val="20"/>
        </w:rPr>
        <w:t>11</w:t>
      </w:r>
      <w:r w:rsidR="00D67FA1">
        <w:rPr>
          <w:rFonts w:ascii="Arial" w:eastAsia="Times New Roman" w:hAnsi="Arial" w:cs="Arial"/>
          <w:sz w:val="20"/>
          <w:szCs w:val="20"/>
        </w:rPr>
        <w:t xml:space="preserve"> ноября 2015 года, </w:t>
      </w:r>
      <w:r w:rsidR="00860474">
        <w:rPr>
          <w:rFonts w:ascii="Arial" w:eastAsia="Times New Roman" w:hAnsi="Arial" w:cs="Arial"/>
          <w:sz w:val="20"/>
          <w:szCs w:val="20"/>
        </w:rPr>
        <w:t>до</w:t>
      </w:r>
      <w:r w:rsidR="00C506F5">
        <w:rPr>
          <w:rFonts w:ascii="Arial" w:eastAsia="Times New Roman" w:hAnsi="Arial" w:cs="Arial"/>
          <w:sz w:val="20"/>
          <w:szCs w:val="20"/>
        </w:rPr>
        <w:t xml:space="preserve"> 1</w:t>
      </w:r>
      <w:r w:rsidR="00860474">
        <w:rPr>
          <w:rFonts w:ascii="Arial" w:eastAsia="Times New Roman" w:hAnsi="Arial" w:cs="Arial"/>
          <w:sz w:val="20"/>
          <w:szCs w:val="20"/>
        </w:rPr>
        <w:t>3</w:t>
      </w:r>
      <w:r w:rsidR="00C506F5">
        <w:rPr>
          <w:rFonts w:ascii="Arial" w:eastAsia="Times New Roman" w:hAnsi="Arial" w:cs="Arial"/>
          <w:sz w:val="20"/>
          <w:szCs w:val="20"/>
        </w:rPr>
        <w:t xml:space="preserve">.00 </w:t>
      </w:r>
      <w:proofErr w:type="spellStart"/>
      <w:r w:rsidR="00C506F5">
        <w:rPr>
          <w:rFonts w:ascii="Arial" w:eastAsia="Times New Roman" w:hAnsi="Arial" w:cs="Arial"/>
          <w:sz w:val="20"/>
          <w:szCs w:val="20"/>
        </w:rPr>
        <w:t>алматинского</w:t>
      </w:r>
      <w:proofErr w:type="spellEnd"/>
      <w:r w:rsidR="00C506F5">
        <w:rPr>
          <w:rFonts w:ascii="Arial" w:eastAsia="Times New Roman" w:hAnsi="Arial" w:cs="Arial"/>
          <w:sz w:val="20"/>
          <w:szCs w:val="20"/>
        </w:rPr>
        <w:t xml:space="preserve"> времени</w:t>
      </w:r>
      <w:r w:rsidR="00D67FA1">
        <w:rPr>
          <w:rFonts w:ascii="Arial" w:eastAsia="Times New Roman" w:hAnsi="Arial" w:cs="Arial"/>
          <w:sz w:val="20"/>
          <w:szCs w:val="20"/>
        </w:rPr>
        <w:t xml:space="preserve">, г. Алматы,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улица 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="001C7F2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280, северная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>башня Многофункционального комплекса "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="00D67FA1" w:rsidRPr="00D67FA1">
        <w:rPr>
          <w:rFonts w:ascii="Arial" w:eastAsia="Times New Roman" w:hAnsi="Arial" w:cs="Arial"/>
          <w:sz w:val="20"/>
          <w:szCs w:val="20"/>
        </w:rPr>
        <w:t xml:space="preserve">", </w:t>
      </w:r>
      <w:r w:rsidR="00BF4591">
        <w:rPr>
          <w:rFonts w:ascii="Arial" w:eastAsia="Times New Roman" w:hAnsi="Arial" w:cs="Arial"/>
          <w:sz w:val="20"/>
          <w:szCs w:val="20"/>
        </w:rPr>
        <w:t>7</w:t>
      </w:r>
      <w:r w:rsidR="001C7F25">
        <w:rPr>
          <w:rFonts w:ascii="Arial" w:eastAsia="Times New Roman" w:hAnsi="Arial" w:cs="Arial"/>
          <w:sz w:val="20"/>
          <w:szCs w:val="20"/>
        </w:rPr>
        <w:t>-ой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этаж, </w:t>
      </w:r>
      <w:r w:rsidR="00BF4591">
        <w:rPr>
          <w:rFonts w:ascii="Arial" w:eastAsia="Times New Roman" w:hAnsi="Arial" w:cs="Arial"/>
          <w:sz w:val="20"/>
          <w:szCs w:val="20"/>
        </w:rPr>
        <w:t>707 кабинет</w:t>
      </w:r>
      <w:r w:rsidR="00CA1D20">
        <w:rPr>
          <w:rFonts w:ascii="Arial" w:eastAsia="Times New Roman" w:hAnsi="Arial" w:cs="Arial"/>
          <w:sz w:val="20"/>
          <w:szCs w:val="20"/>
        </w:rPr>
        <w:t>;</w:t>
      </w:r>
    </w:p>
    <w:p w:rsidR="00BF4591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4</w:t>
      </w:r>
      <w:r w:rsidR="00CA1D20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="00BF4591" w:rsidRPr="00BF4591">
        <w:rPr>
          <w:rFonts w:ascii="Arial" w:eastAsia="Times New Roman" w:hAnsi="Arial" w:cs="Arial"/>
          <w:sz w:val="20"/>
          <w:szCs w:val="20"/>
        </w:rPr>
        <w:t xml:space="preserve">назначить заседание конкурсной комиссии по оценке и сопоставлению конкурсных ценовых предложений </w:t>
      </w:r>
      <w:proofErr w:type="gramStart"/>
      <w:r w:rsidR="00BF4591" w:rsidRPr="00BF4591">
        <w:rPr>
          <w:rFonts w:ascii="Arial" w:eastAsia="Times New Roman" w:hAnsi="Arial" w:cs="Arial"/>
          <w:sz w:val="20"/>
          <w:szCs w:val="20"/>
        </w:rPr>
        <w:t>на</w:t>
      </w:r>
      <w:proofErr w:type="gramEnd"/>
      <w:r w:rsidR="00BF459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BF4591" w:rsidRDefault="00BF4591" w:rsidP="000F6463">
      <w:pPr>
        <w:tabs>
          <w:tab w:val="left" w:pos="432"/>
          <w:tab w:val="left" w:pos="1260"/>
        </w:tabs>
        <w:spacing w:after="120" w:line="240" w:lineRule="auto"/>
        <w:ind w:left="1260" w:hanging="360"/>
        <w:jc w:val="both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–</w:t>
      </w:r>
      <w:r w:rsidRPr="00BF4591">
        <w:rPr>
          <w:rFonts w:ascii="Arial" w:eastAsia="Times New Roman" w:hAnsi="Arial" w:cs="Arial"/>
          <w:sz w:val="20"/>
          <w:szCs w:val="20"/>
        </w:rPr>
        <w:tab/>
        <w:t xml:space="preserve">11 ноября 2015 года, с </w:t>
      </w:r>
      <w:r>
        <w:rPr>
          <w:rFonts w:ascii="Arial" w:eastAsia="Times New Roman" w:hAnsi="Arial" w:cs="Arial"/>
          <w:sz w:val="20"/>
          <w:szCs w:val="20"/>
        </w:rPr>
        <w:t>1</w:t>
      </w:r>
      <w:r w:rsidR="00860474">
        <w:rPr>
          <w:rFonts w:ascii="Arial" w:eastAsia="Times New Roman" w:hAnsi="Arial" w:cs="Arial"/>
          <w:sz w:val="20"/>
          <w:szCs w:val="20"/>
        </w:rPr>
        <w:t>5</w:t>
      </w:r>
      <w:r w:rsidRPr="00BF4591">
        <w:rPr>
          <w:rFonts w:ascii="Arial" w:eastAsia="Times New Roman" w:hAnsi="Arial" w:cs="Arial"/>
          <w:sz w:val="20"/>
          <w:szCs w:val="20"/>
        </w:rPr>
        <w:t xml:space="preserve">.00 </w:t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алматинского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 xml:space="preserve"> времени, г. Алматы, улица 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>, 280, северная башня Многофункционального комплекса "</w:t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F4591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Pr="00BF4591">
        <w:rPr>
          <w:rFonts w:ascii="Arial" w:eastAsia="Times New Roman" w:hAnsi="Arial" w:cs="Arial"/>
          <w:sz w:val="20"/>
          <w:szCs w:val="20"/>
        </w:rPr>
        <w:t xml:space="preserve">", </w:t>
      </w:r>
      <w:r>
        <w:rPr>
          <w:rFonts w:ascii="Arial" w:eastAsia="Times New Roman" w:hAnsi="Arial" w:cs="Arial"/>
          <w:sz w:val="20"/>
          <w:szCs w:val="20"/>
        </w:rPr>
        <w:t>8</w:t>
      </w:r>
      <w:r w:rsidRPr="00BF4591">
        <w:rPr>
          <w:rFonts w:ascii="Arial" w:eastAsia="Times New Roman" w:hAnsi="Arial" w:cs="Arial"/>
          <w:sz w:val="20"/>
          <w:szCs w:val="20"/>
        </w:rPr>
        <w:t>-ой этаж, конференц-зал;</w:t>
      </w:r>
    </w:p>
    <w:p w:rsidR="00CA1D20" w:rsidRPr="00CA1D20" w:rsidRDefault="00BF4591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 w:rsidRPr="00CA1D20">
        <w:rPr>
          <w:rFonts w:ascii="Arial" w:eastAsia="Times New Roman" w:hAnsi="Arial" w:cs="Arial"/>
          <w:sz w:val="20"/>
          <w:szCs w:val="20"/>
        </w:rPr>
        <w:t>секретарю конкурсной комиссии опубликовать те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 xml:space="preserve">отокола допуска к участию в конкурсе </w:t>
      </w:r>
      <w:r w:rsidRPr="00BF4591">
        <w:rPr>
          <w:rFonts w:ascii="Arial" w:eastAsia="Times New Roman" w:hAnsi="Arial" w:cs="Arial"/>
          <w:sz w:val="20"/>
          <w:szCs w:val="20"/>
        </w:rPr>
        <w:t xml:space="preserve">в день его подписания </w:t>
      </w:r>
      <w:r w:rsidR="00CA1D20" w:rsidRPr="00CA1D20">
        <w:rPr>
          <w:rFonts w:ascii="Arial" w:eastAsia="Times New Roman" w:hAnsi="Arial" w:cs="Arial"/>
          <w:sz w:val="20"/>
          <w:szCs w:val="20"/>
        </w:rPr>
        <w:t>на интернет-</w:t>
      </w:r>
      <w:r w:rsidR="001C7F25">
        <w:rPr>
          <w:rFonts w:ascii="Arial" w:eastAsia="Times New Roman" w:hAnsi="Arial" w:cs="Arial"/>
          <w:sz w:val="20"/>
          <w:szCs w:val="20"/>
        </w:rPr>
        <w:t>сайте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602060">
        <w:rPr>
          <w:rFonts w:ascii="Arial" w:eastAsia="Times New Roman" w:hAnsi="Arial" w:cs="Arial"/>
          <w:sz w:val="20"/>
          <w:szCs w:val="20"/>
        </w:rPr>
        <w:t>Биржи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За</w:t>
      </w:r>
      <w:r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–</w:t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три голоса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(единогласно):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Цалюк Андрей Юрьевич;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Жуланов Данель Михайлович;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 xml:space="preserve"> Рустем </w:t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Нурланович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BF4591" w:rsidRPr="00BF4591" w:rsidRDefault="00BF4591" w:rsidP="00BF459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 </w:t>
      </w:r>
    </w:p>
    <w:p w:rsidR="000D62A8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0D62A8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10325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6526E">
        <w:rPr>
          <w:rFonts w:ascii="Arial" w:eastAsia="Times New Roman" w:hAnsi="Arial" w:cs="Arial"/>
          <w:sz w:val="20"/>
          <w:szCs w:val="20"/>
        </w:rPr>
        <w:t>Председател</w:t>
      </w:r>
      <w:r>
        <w:rPr>
          <w:rFonts w:ascii="Arial" w:eastAsia="Times New Roman" w:hAnsi="Arial" w:cs="Arial"/>
          <w:sz w:val="20"/>
          <w:szCs w:val="20"/>
        </w:rPr>
        <w:t>ь</w:t>
      </w:r>
      <w:r w:rsidRP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Цалюк А.Ю.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Искаков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74E90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Секретарь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p w:rsidR="00B957AA" w:rsidRPr="000801C2" w:rsidRDefault="00B957AA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C5" w:rsidRDefault="00F93AC5" w:rsidP="001C7F25">
      <w:pPr>
        <w:spacing w:after="0" w:line="240" w:lineRule="auto"/>
      </w:pPr>
      <w:r>
        <w:separator/>
      </w:r>
    </w:p>
  </w:endnote>
  <w:endnote w:type="continuationSeparator" w:id="0">
    <w:p w:rsidR="00F93AC5" w:rsidRDefault="00F93AC5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0F7D45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8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C5" w:rsidRDefault="00F93AC5" w:rsidP="001C7F25">
      <w:pPr>
        <w:spacing w:after="0" w:line="240" w:lineRule="auto"/>
      </w:pPr>
      <w:r>
        <w:separator/>
      </w:r>
    </w:p>
  </w:footnote>
  <w:footnote w:type="continuationSeparator" w:id="0">
    <w:p w:rsidR="00F93AC5" w:rsidRDefault="00F93AC5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76DC8"/>
    <w:rsid w:val="000801C2"/>
    <w:rsid w:val="0008338E"/>
    <w:rsid w:val="00093E58"/>
    <w:rsid w:val="000A774E"/>
    <w:rsid w:val="000B1280"/>
    <w:rsid w:val="000B3F6F"/>
    <w:rsid w:val="000B52B9"/>
    <w:rsid w:val="000D62A8"/>
    <w:rsid w:val="000E37FB"/>
    <w:rsid w:val="000F6463"/>
    <w:rsid w:val="000F7D45"/>
    <w:rsid w:val="00117E59"/>
    <w:rsid w:val="0014312C"/>
    <w:rsid w:val="00152F62"/>
    <w:rsid w:val="0016526E"/>
    <w:rsid w:val="00173CCF"/>
    <w:rsid w:val="0017590D"/>
    <w:rsid w:val="001810D1"/>
    <w:rsid w:val="0018689F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807CC"/>
    <w:rsid w:val="00284B2D"/>
    <w:rsid w:val="00294990"/>
    <w:rsid w:val="002B2707"/>
    <w:rsid w:val="002B77A3"/>
    <w:rsid w:val="002F1E25"/>
    <w:rsid w:val="00301861"/>
    <w:rsid w:val="00315CF5"/>
    <w:rsid w:val="00323474"/>
    <w:rsid w:val="0033741E"/>
    <w:rsid w:val="00341D7B"/>
    <w:rsid w:val="00347AE4"/>
    <w:rsid w:val="00350DE5"/>
    <w:rsid w:val="00352B13"/>
    <w:rsid w:val="003704EE"/>
    <w:rsid w:val="00371042"/>
    <w:rsid w:val="00384704"/>
    <w:rsid w:val="003942C1"/>
    <w:rsid w:val="003B533D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A3C4A"/>
    <w:rsid w:val="004C54FF"/>
    <w:rsid w:val="004D4112"/>
    <w:rsid w:val="004D4AFE"/>
    <w:rsid w:val="004D7BF0"/>
    <w:rsid w:val="004E0B99"/>
    <w:rsid w:val="00524AE6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F4E21"/>
    <w:rsid w:val="005F7D2F"/>
    <w:rsid w:val="00602060"/>
    <w:rsid w:val="00613596"/>
    <w:rsid w:val="00615A11"/>
    <w:rsid w:val="00694217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415CB"/>
    <w:rsid w:val="00746F3F"/>
    <w:rsid w:val="00747492"/>
    <w:rsid w:val="00753C34"/>
    <w:rsid w:val="00756769"/>
    <w:rsid w:val="0076773A"/>
    <w:rsid w:val="0077046C"/>
    <w:rsid w:val="00782EB0"/>
    <w:rsid w:val="00790FE8"/>
    <w:rsid w:val="007A0565"/>
    <w:rsid w:val="007A212E"/>
    <w:rsid w:val="007A68F7"/>
    <w:rsid w:val="007C60D0"/>
    <w:rsid w:val="007D2317"/>
    <w:rsid w:val="007F7EC4"/>
    <w:rsid w:val="00814A8A"/>
    <w:rsid w:val="0082020F"/>
    <w:rsid w:val="00860474"/>
    <w:rsid w:val="00877B36"/>
    <w:rsid w:val="00893217"/>
    <w:rsid w:val="008B65A2"/>
    <w:rsid w:val="008D6D21"/>
    <w:rsid w:val="008E4257"/>
    <w:rsid w:val="008E4A38"/>
    <w:rsid w:val="009050F6"/>
    <w:rsid w:val="00925E24"/>
    <w:rsid w:val="0095279C"/>
    <w:rsid w:val="00955DB9"/>
    <w:rsid w:val="00991C0B"/>
    <w:rsid w:val="00992467"/>
    <w:rsid w:val="009B2C06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B138A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456F0"/>
    <w:rsid w:val="00C506F5"/>
    <w:rsid w:val="00C50DD4"/>
    <w:rsid w:val="00C52232"/>
    <w:rsid w:val="00C55B79"/>
    <w:rsid w:val="00CA1D20"/>
    <w:rsid w:val="00CE56A4"/>
    <w:rsid w:val="00CE6195"/>
    <w:rsid w:val="00D06697"/>
    <w:rsid w:val="00D11320"/>
    <w:rsid w:val="00D235EA"/>
    <w:rsid w:val="00D312DC"/>
    <w:rsid w:val="00D471EC"/>
    <w:rsid w:val="00D660CF"/>
    <w:rsid w:val="00D67FA1"/>
    <w:rsid w:val="00D85C44"/>
    <w:rsid w:val="00DE39ED"/>
    <w:rsid w:val="00DE707B"/>
    <w:rsid w:val="00E04C11"/>
    <w:rsid w:val="00E11D6E"/>
    <w:rsid w:val="00E35573"/>
    <w:rsid w:val="00E55FCB"/>
    <w:rsid w:val="00E6080D"/>
    <w:rsid w:val="00E677C7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D0D0D"/>
    <w:rsid w:val="00F02D11"/>
    <w:rsid w:val="00F17E37"/>
    <w:rsid w:val="00F2065B"/>
    <w:rsid w:val="00F2393A"/>
    <w:rsid w:val="00F32E33"/>
    <w:rsid w:val="00F75986"/>
    <w:rsid w:val="00F86888"/>
    <w:rsid w:val="00F93AC5"/>
    <w:rsid w:val="00FA26B3"/>
    <w:rsid w:val="00FC1279"/>
    <w:rsid w:val="00FC7DE5"/>
    <w:rsid w:val="00FD437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EC18-906B-4B07-AE22-C0A0CAD9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Жанерке Аманбек</cp:lastModifiedBy>
  <cp:revision>2</cp:revision>
  <cp:lastPrinted>2015-11-05T04:27:00Z</cp:lastPrinted>
  <dcterms:created xsi:type="dcterms:W3CDTF">2015-11-05T04:42:00Z</dcterms:created>
  <dcterms:modified xsi:type="dcterms:W3CDTF">2015-11-05T04:42:00Z</dcterms:modified>
</cp:coreProperties>
</file>